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23"/>
      </w:pPr>
      <w:r/>
      <w:r/>
    </w:p>
    <w:p>
      <w:pPr>
        <w:pStyle w:val="842"/>
        <w:ind w:left="0"/>
        <w:jc w:val="center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БЕЛГОРОДСКАЯ ОБЛАСТЬ</w:t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margin">
                  <wp:posOffset>2856865</wp:posOffset>
                </wp:positionH>
                <wp:positionV relativeFrom="margin">
                  <wp:posOffset>585470</wp:posOffset>
                </wp:positionV>
                <wp:extent cx="476885" cy="612140"/>
                <wp:effectExtent l="0" t="0" r="0" b="0"/>
                <wp:wrapTopAndBottom/>
                <wp:docPr id="1" name="" hidden="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hidden="0"/>
                        <pic:cNvPicPr/>
                        <pic:nvPr isPhoto="0" userDrawn="0"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476885" cy="612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524288;o:allowoverlap:true;o:allowincell:true;mso-position-horizontal-relative:margin;margin-left:224.9pt;mso-position-horizontal:absolute;mso-position-vertical-relative:margin;margin-top:46.1pt;mso-position-vertical:absolute;width:37.5pt;height:48.2pt;mso-wrap-distance-left:9.0pt;mso-wrap-distance-top:0.0pt;mso-wrap-distance-right:9.0pt;mso-wrap-distance-bottom:0.0pt;" stroked="f">
                <v:path textboxrect="0,0,0,0"/>
                <w10:wrap type="topAndBottom"/>
                <v:imagedata r:id="rId9" o:title=""/>
              </v:shape>
            </w:pict>
          </mc:Fallback>
        </mc:AlternateContent>
      </w:r>
      <w:r>
        <w:rPr>
          <w:rFonts w:ascii="Times New Roman" w:hAnsi="Times New Roman"/>
          <w:b/>
          <w:sz w:val="24"/>
          <w:szCs w:val="24"/>
        </w:rPr>
        <w:t xml:space="preserve">ЧЕРНЯНСКИЙ РАЙОН</w:t>
      </w:r>
      <w:r/>
    </w:p>
    <w:p>
      <w:pPr>
        <w:pStyle w:val="842"/>
        <w:ind w:left="0"/>
        <w:jc w:val="center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АДМИНИСТРАЦИЯ ПРИЛЕПЕНСКОГО СЕЛЬСКОГО ПОСЕЛЕНИЯ МУНИЦИПАЛЬНОГО РАЙОНА </w:t>
      </w:r>
      <w:r/>
    </w:p>
    <w:p>
      <w:pPr>
        <w:pStyle w:val="842"/>
        <w:ind w:left="0"/>
        <w:jc w:val="center"/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"ЧЕРНЯНСКИЙ РАЙОН" БЕЛГОРОДСКОЙ ОБЛАСТИ</w:t>
      </w:r>
      <w:r/>
    </w:p>
    <w:p>
      <w:pPr>
        <w:pStyle w:val="822"/>
        <w:jc w:val="center"/>
        <w:spacing w:after="0" w:line="240" w:lineRule="auto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shd w:val="clear" w:color="auto" w:fill="ffffff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 О С Т А Н О В Л Е Н И Е</w:t>
      </w:r>
      <w:r/>
    </w:p>
    <w:p>
      <w:pPr>
        <w:pStyle w:val="822"/>
        <w:jc w:val="center"/>
        <w:spacing w:after="0" w:line="240" w:lineRule="auto"/>
        <w:shd w:val="clear" w:color="auto" w:fill="ffffff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с.Верхнее Кузькино</w:t>
      </w:r>
      <w:r>
        <w:rPr>
          <w:rFonts w:ascii="Times New Roman" w:hAnsi="Times New Roman"/>
          <w:b/>
        </w:rPr>
      </w:r>
      <w:r/>
    </w:p>
    <w:p>
      <w:pPr>
        <w:pStyle w:val="822"/>
        <w:jc w:val="center"/>
        <w:shd w:val="clear" w:color="auto" w:fill="ffffff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</w:r>
      <w:r/>
    </w:p>
    <w:p>
      <w:pPr>
        <w:pStyle w:val="822"/>
        <w:shd w:val="clear" w:color="auto" w:fill="ffffff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/>
          <w:b/>
          <w:sz w:val="28"/>
          <w:szCs w:val="28"/>
          <w:highlight w:val="none"/>
        </w:rPr>
        <w:t xml:space="preserve">"</w:t>
      </w:r>
      <w:r>
        <w:rPr>
          <w:rFonts w:ascii="Times New Roman" w:hAnsi="Times New Roman"/>
          <w:b/>
          <w:sz w:val="28"/>
          <w:szCs w:val="28"/>
          <w:highlight w:val="none"/>
        </w:rPr>
        <w:t xml:space="preserve">28</w:t>
      </w:r>
      <w:r>
        <w:rPr>
          <w:rFonts w:ascii="Times New Roman" w:hAnsi="Times New Roman"/>
          <w:b/>
          <w:sz w:val="28"/>
          <w:szCs w:val="28"/>
          <w:highlight w:val="none"/>
        </w:rPr>
        <w:t xml:space="preserve">" </w:t>
      </w:r>
      <w:r>
        <w:rPr>
          <w:rFonts w:ascii="Times New Roman" w:hAnsi="Times New Roman"/>
          <w:b/>
          <w:sz w:val="28"/>
          <w:szCs w:val="28"/>
          <w:highlight w:val="none"/>
        </w:rPr>
        <w:t xml:space="preserve">апреля  2025</w:t>
      </w:r>
      <w:r>
        <w:rPr>
          <w:rFonts w:ascii="Times New Roman" w:hAnsi="Times New Roman"/>
          <w:b/>
          <w:sz w:val="28"/>
          <w:szCs w:val="28"/>
          <w:highlight w:val="none"/>
        </w:rPr>
        <w:t xml:space="preserve"> г.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  <w:t xml:space="preserve">  № 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  <w:t xml:space="preserve">30/1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/>
    </w:p>
    <w:p>
      <w:pPr>
        <w:pStyle w:val="822"/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Об утверждении отчета об исполнении бюджета </w:t>
      </w:r>
      <w:r>
        <w:rPr>
          <w:rFonts w:ascii="Times New Roman" w:hAnsi="Times New Roman"/>
          <w:b/>
          <w:sz w:val="28"/>
        </w:rPr>
      </w:r>
      <w:r/>
    </w:p>
    <w:p>
      <w:pPr>
        <w:jc w:val="center"/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</w:r>
      <w:r>
        <w:rPr>
          <w:rFonts w:ascii="Times New Roman" w:hAnsi="Times New Roman"/>
          <w:b/>
          <w:sz w:val="28"/>
        </w:rPr>
        <w:t xml:space="preserve">Прилепенского</w:t>
      </w:r>
      <w:r>
        <w:rPr>
          <w:rFonts w:ascii="Times New Roman" w:hAnsi="Times New Roman"/>
          <w:b/>
          <w:sz w:val="28"/>
        </w:rPr>
        <w:t xml:space="preserve"> сельского поселения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 xml:space="preserve">за </w:t>
      </w:r>
      <w:r>
        <w:rPr>
          <w:rFonts w:ascii="Times New Roman" w:hAnsi="Times New Roman"/>
          <w:b/>
          <w:sz w:val="28"/>
        </w:rPr>
        <w:t xml:space="preserve">1 квартал  202</w:t>
      </w:r>
      <w:r>
        <w:rPr>
          <w:rFonts w:ascii="Times New Roman" w:hAnsi="Times New Roman"/>
          <w:b/>
          <w:sz w:val="28"/>
        </w:rPr>
        <w:t xml:space="preserve">5 </w:t>
      </w:r>
      <w:r>
        <w:rPr>
          <w:rFonts w:ascii="Times New Roman" w:hAnsi="Times New Roman"/>
          <w:b/>
          <w:sz w:val="28"/>
        </w:rPr>
        <w:t xml:space="preserve">года</w:t>
      </w:r>
      <w:r/>
    </w:p>
    <w:p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  <w:r>
        <w:rPr>
          <w:rFonts w:ascii="Times New Roman" w:hAnsi="Times New Roman"/>
          <w:sz w:val="28"/>
        </w:rPr>
      </w:r>
      <w:r/>
    </w:p>
    <w:p>
      <w:pPr>
        <w:pStyle w:val="822"/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В соответствии со с</w:t>
      </w:r>
      <w:r>
        <w:rPr>
          <w:rFonts w:ascii="Times New Roman" w:hAnsi="Times New Roman"/>
          <w:sz w:val="28"/>
        </w:rPr>
        <w:t xml:space="preserve">татьей 264.2 </w:t>
      </w:r>
      <w:r>
        <w:rPr>
          <w:rFonts w:ascii="Times New Roman" w:hAnsi="Times New Roman"/>
          <w:sz w:val="28"/>
        </w:rPr>
        <w:t xml:space="preserve">Бюджетного Кодекса Российской </w:t>
      </w:r>
      <w:r>
        <w:rPr>
          <w:rFonts w:ascii="Times New Roman" w:hAnsi="Times New Roman"/>
          <w:sz w:val="28"/>
        </w:rPr>
        <w:t xml:space="preserve">Ф</w:t>
      </w:r>
      <w:r>
        <w:rPr>
          <w:rFonts w:ascii="Times New Roman" w:hAnsi="Times New Roman"/>
          <w:sz w:val="28"/>
        </w:rPr>
        <w:t xml:space="preserve">едерации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администрация Прилепенского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сельского поселения </w:t>
      </w:r>
      <w:r>
        <w:rPr>
          <w:rFonts w:ascii="Times New Roman" w:hAnsi="Times New Roman"/>
          <w:sz w:val="28"/>
        </w:rPr>
        <w:t xml:space="preserve">муниципального района «Чернянский  район» </w:t>
      </w:r>
      <w:r>
        <w:rPr>
          <w:rFonts w:ascii="Times New Roman" w:hAnsi="Times New Roman"/>
          <w:sz w:val="28"/>
        </w:rPr>
        <w:t xml:space="preserve"> Белгородской области  </w:t>
      </w:r>
      <w:r>
        <w:rPr>
          <w:rFonts w:ascii="Times New Roman" w:hAnsi="Times New Roman"/>
          <w:b/>
          <w:sz w:val="28"/>
          <w:szCs w:val="28"/>
        </w:rPr>
        <w:t xml:space="preserve">п</w:t>
      </w:r>
      <w:r>
        <w:rPr>
          <w:rFonts w:ascii="Times New Roman" w:hAnsi="Times New Roman"/>
          <w:b/>
          <w:sz w:val="28"/>
          <w:szCs w:val="28"/>
        </w:rPr>
        <w:t xml:space="preserve"> о с т а </w:t>
      </w:r>
      <w:r>
        <w:rPr>
          <w:rFonts w:ascii="Times New Roman" w:hAnsi="Times New Roman"/>
          <w:b/>
          <w:sz w:val="28"/>
          <w:szCs w:val="28"/>
        </w:rPr>
        <w:t xml:space="preserve">н</w:t>
      </w:r>
      <w:r>
        <w:rPr>
          <w:rFonts w:ascii="Times New Roman" w:hAnsi="Times New Roman"/>
          <w:b/>
          <w:sz w:val="28"/>
          <w:szCs w:val="28"/>
        </w:rPr>
        <w:t xml:space="preserve"> о в л я е т:</w:t>
      </w:r>
      <w:r>
        <w:rPr>
          <w:rFonts w:ascii="Times New Roman" w:hAnsi="Times New Roman"/>
          <w:b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 1. Утвердить отчет об исполнении бюджета </w:t>
      </w:r>
      <w:r>
        <w:rPr>
          <w:rFonts w:ascii="Times New Roman" w:hAnsi="Times New Roman"/>
          <w:sz w:val="28"/>
        </w:rPr>
        <w:t xml:space="preserve">Прилепенского</w:t>
      </w:r>
      <w:r>
        <w:rPr>
          <w:rFonts w:ascii="Times New Roman" w:hAnsi="Times New Roman"/>
          <w:sz w:val="28"/>
        </w:rPr>
        <w:t xml:space="preserve"> сельского поселения (далее – бюджета поселения) за</w:t>
      </w:r>
      <w:r>
        <w:rPr>
          <w:rFonts w:ascii="Times New Roman" w:hAnsi="Times New Roman"/>
          <w:sz w:val="28"/>
        </w:rPr>
        <w:t xml:space="preserve"> 1 квартал 2025 года по доходам в сумме </w:t>
      </w:r>
      <w:r>
        <w:rPr>
          <w:rFonts w:ascii="Times New Roman" w:hAnsi="Times New Roman"/>
          <w:sz w:val="28"/>
        </w:rPr>
        <w:t xml:space="preserve">4975,1 </w:t>
      </w:r>
      <w:r>
        <w:rPr>
          <w:rFonts w:ascii="Times New Roman" w:hAnsi="Times New Roman"/>
          <w:sz w:val="28"/>
        </w:rPr>
        <w:t xml:space="preserve">тыс</w:t>
      </w:r>
      <w:r>
        <w:rPr>
          <w:rFonts w:ascii="Times New Roman" w:hAnsi="Times New Roman"/>
          <w:sz w:val="28"/>
        </w:rPr>
        <w:t xml:space="preserve">.</w:t>
      </w:r>
      <w:r>
        <w:rPr>
          <w:rFonts w:ascii="Times New Roman" w:hAnsi="Times New Roman"/>
          <w:sz w:val="28"/>
        </w:rPr>
        <w:t xml:space="preserve">р</w:t>
      </w:r>
      <w:r>
        <w:rPr>
          <w:rFonts w:ascii="Times New Roman" w:hAnsi="Times New Roman"/>
          <w:sz w:val="28"/>
        </w:rPr>
        <w:t xml:space="preserve">ублей, по расходам в сумме </w:t>
      </w:r>
      <w:r>
        <w:rPr>
          <w:rFonts w:ascii="Times New Roman" w:hAnsi="Times New Roman"/>
          <w:sz w:val="28"/>
        </w:rPr>
        <w:t xml:space="preserve">2692,7</w:t>
      </w:r>
      <w:r>
        <w:rPr>
          <w:rFonts w:ascii="Times New Roman" w:hAnsi="Times New Roman"/>
          <w:sz w:val="28"/>
        </w:rPr>
        <w:t xml:space="preserve"> тыс.рублей с превышением </w:t>
      </w:r>
      <w:r>
        <w:rPr>
          <w:rFonts w:ascii="Times New Roman" w:hAnsi="Times New Roman"/>
          <w:sz w:val="28"/>
        </w:rPr>
        <w:t xml:space="preserve">доходов над расходами </w:t>
      </w:r>
      <w:r>
        <w:rPr>
          <w:rFonts w:ascii="Times New Roman" w:hAnsi="Times New Roman"/>
          <w:sz w:val="28"/>
        </w:rPr>
        <w:t xml:space="preserve">(</w:t>
      </w:r>
      <w:r>
        <w:rPr>
          <w:rFonts w:ascii="Times New Roman" w:hAnsi="Times New Roman"/>
          <w:sz w:val="28"/>
        </w:rPr>
        <w:t xml:space="preserve">профицит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бюджета) в сумме </w:t>
      </w:r>
      <w:r>
        <w:rPr>
          <w:rFonts w:ascii="Times New Roman" w:hAnsi="Times New Roman"/>
          <w:sz w:val="28"/>
        </w:rPr>
        <w:t xml:space="preserve">2282,4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тыс. рублей со следующими показателями:</w:t>
      </w:r>
      <w:r>
        <w:rPr>
          <w:rFonts w:ascii="Times New Roman" w:hAnsi="Times New Roman"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 xml:space="preserve">по поступлению доходов в бюджет поселения за </w:t>
      </w:r>
      <w:r>
        <w:rPr>
          <w:rFonts w:ascii="Times New Roman" w:hAnsi="Times New Roman"/>
          <w:sz w:val="28"/>
        </w:rPr>
        <w:t xml:space="preserve">1 квартал </w:t>
      </w:r>
      <w:r>
        <w:rPr>
          <w:rFonts w:ascii="Times New Roman" w:hAnsi="Times New Roman"/>
          <w:sz w:val="28"/>
        </w:rPr>
        <w:t xml:space="preserve">20</w:t>
      </w:r>
      <w:r>
        <w:rPr>
          <w:rFonts w:ascii="Times New Roman" w:hAnsi="Times New Roman"/>
          <w:sz w:val="28"/>
        </w:rPr>
        <w:t xml:space="preserve">25</w:t>
      </w:r>
      <w:r>
        <w:rPr>
          <w:rFonts w:ascii="Times New Roman" w:hAnsi="Times New Roman"/>
          <w:sz w:val="28"/>
        </w:rPr>
        <w:t xml:space="preserve"> года</w:t>
      </w:r>
      <w:r>
        <w:rPr>
          <w:rFonts w:ascii="Times New Roman" w:hAnsi="Times New Roman"/>
          <w:sz w:val="28"/>
        </w:rPr>
        <w:t xml:space="preserve"> согласно приложению №1 к настоящему постановлению;</w:t>
      </w:r>
      <w:r>
        <w:rPr>
          <w:rFonts w:ascii="Times New Roman" w:hAnsi="Times New Roman"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 xml:space="preserve">по распределению расходов бюджета поселения по разделам, подразделам, целевым статьям, виду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функциональной классификации расходов бюджетов Российской Федерации за </w:t>
      </w:r>
      <w:r>
        <w:rPr>
          <w:rFonts w:ascii="Times New Roman" w:hAnsi="Times New Roman"/>
          <w:sz w:val="28"/>
        </w:rPr>
        <w:t xml:space="preserve">1 квартал</w:t>
      </w:r>
      <w:r>
        <w:rPr>
          <w:rFonts w:ascii="Times New Roman" w:hAnsi="Times New Roman"/>
          <w:sz w:val="28"/>
        </w:rPr>
        <w:t xml:space="preserve"> 20</w:t>
      </w:r>
      <w:r>
        <w:rPr>
          <w:rFonts w:ascii="Times New Roman" w:hAnsi="Times New Roman"/>
          <w:sz w:val="28"/>
        </w:rPr>
        <w:t xml:space="preserve">25 года согласно приложению №2 к настоящему постановлению;</w:t>
      </w:r>
      <w:r>
        <w:rPr>
          <w:rFonts w:ascii="Times New Roman" w:hAnsi="Times New Roman"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- по ведомственной структуре расходов бюджета Прилепенского сельского поселения за 1 квартал 2025 года согласно приложению №3 к настоящему постановлению;</w:t>
      </w:r>
      <w:r>
        <w:rPr>
          <w:rFonts w:ascii="Times New Roman" w:hAnsi="Times New Roman"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- по распределению бюджетных ассигнований по целевым статьям (муниципальным программам) и непрограммным направлениям деятельности, группам видов расходов, разделам, подразделам классификации расходов бюджета на 1 квартал 2025 года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согласно приложению №4 к настоящему постановлению;</w:t>
      </w:r>
      <w:r>
        <w:rPr>
          <w:rFonts w:ascii="Times New Roman" w:hAnsi="Times New Roman"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-объем межбюджетных трансфертов Прилепенского сельского поселения, получаемые из других уровней бюджетной системы Российской Федерации за 1 квартал 2025 года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согласно приложению №5 к настоящему постановлению;</w:t>
      </w:r>
      <w:r>
        <w:rPr>
          <w:rFonts w:ascii="Times New Roman" w:hAnsi="Times New Roman"/>
          <w:sz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 xml:space="preserve">по внутренним источникам финансирования дефицита бюджета за</w:t>
      </w:r>
      <w:r>
        <w:rPr>
          <w:rFonts w:ascii="Times New Roman" w:hAnsi="Times New Roman"/>
          <w:sz w:val="28"/>
        </w:rPr>
        <w:t xml:space="preserve"> 1  квартал 2025</w:t>
      </w:r>
      <w:r>
        <w:rPr>
          <w:rFonts w:ascii="Times New Roman" w:hAnsi="Times New Roman"/>
          <w:sz w:val="28"/>
        </w:rPr>
        <w:t xml:space="preserve"> года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согласно приложению №6 к настоящему постановлению.</w:t>
      </w:r>
      <w:r>
        <w:rPr>
          <w:rFonts w:ascii="Times New Roman" w:hAnsi="Times New Roman"/>
          <w:sz w:val="28"/>
        </w:rPr>
      </w:r>
      <w:r/>
    </w:p>
    <w:p>
      <w:pPr>
        <w:pStyle w:val="847"/>
      </w:pPr>
      <w:r>
        <w:t xml:space="preserve">    </w:t>
      </w:r>
      <w:r>
        <w:t xml:space="preserve">      </w:t>
      </w:r>
      <w:r>
        <w:t xml:space="preserve"> 2. </w:t>
      </w:r>
      <w:r>
        <w:t xml:space="preserve">Обнародовать настоящее постановление путем вывешивания в общедоступных местах, определенных решением Земского собрания </w:t>
      </w:r>
      <w:r>
        <w:t xml:space="preserve">Прилепенского сельского поселения, на официальном сайте органов местного самоуправления Прилепенского сельского поселения Чернянского района в сети Интернет</w:t>
      </w:r>
      <w:r>
        <w:t xml:space="preserve">. А</w:t>
      </w:r>
      <w:r>
        <w:rPr>
          <w:bCs/>
          <w:szCs w:val="28"/>
        </w:rPr>
        <w:t xml:space="preserve">дрес сайта: http://</w:t>
      </w:r>
      <w:r>
        <w:rPr>
          <w:bCs/>
          <w:szCs w:val="28"/>
          <w:lang w:val="en-US"/>
        </w:rPr>
        <w:t xml:space="preserve">verxneekuzkino</w:t>
      </w:r>
      <w:r>
        <w:rPr>
          <w:bCs/>
          <w:szCs w:val="28"/>
        </w:rPr>
        <w:t xml:space="preserve">-</w:t>
      </w:r>
      <w:r>
        <w:rPr>
          <w:bCs/>
          <w:szCs w:val="28"/>
          <w:lang w:val="en-US"/>
        </w:rPr>
        <w:t xml:space="preserve">r</w:t>
      </w:r>
      <w:r>
        <w:rPr>
          <w:bCs/>
          <w:szCs w:val="28"/>
        </w:rPr>
        <w:t xml:space="preserve">31.</w:t>
      </w:r>
      <w:r>
        <w:rPr>
          <w:bCs/>
          <w:szCs w:val="28"/>
          <w:lang w:val="en-US"/>
        </w:rPr>
        <w:t xml:space="preserve">gosweb</w:t>
      </w:r>
      <w:r>
        <w:rPr>
          <w:bCs/>
          <w:szCs w:val="28"/>
        </w:rPr>
        <w:t xml:space="preserve">.</w:t>
      </w:r>
      <w:r>
        <w:rPr>
          <w:bCs/>
          <w:szCs w:val="28"/>
          <w:lang w:val="en-US"/>
        </w:rPr>
        <w:t xml:space="preserve">gosuslugi</w:t>
      </w:r>
      <w:r>
        <w:rPr>
          <w:bCs/>
          <w:szCs w:val="28"/>
        </w:rPr>
        <w:t xml:space="preserve">.</w:t>
      </w:r>
      <w:r>
        <w:rPr>
          <w:bCs/>
          <w:szCs w:val="28"/>
        </w:rPr>
        <w:t xml:space="preserve">ru</w:t>
      </w:r>
      <w:r>
        <w:rPr>
          <w:b/>
        </w:rPr>
        <w:t xml:space="preserve">.</w:t>
      </w:r>
      <w:r>
        <w:t xml:space="preserve"> </w:t>
      </w:r>
      <w:r/>
    </w:p>
    <w:p>
      <w:pPr>
        <w:pStyle w:val="847"/>
        <w:rPr>
          <w:rFonts w:ascii="Times New Roman" w:hAnsi="Times New Roman"/>
          <w:b/>
          <w:bCs/>
          <w:sz w:val="28"/>
          <w:szCs w:val="28"/>
        </w:rPr>
      </w:pPr>
      <w:r>
        <w:t xml:space="preserve">           3. </w:t>
      </w:r>
      <w:r>
        <w:t xml:space="preserve">Контроль за</w:t>
      </w:r>
      <w:r>
        <w:t xml:space="preserve"> исполнением </w:t>
      </w:r>
      <w:r>
        <w:t xml:space="preserve">постановления оставляю за собой.</w:t>
      </w:r>
      <w:r/>
    </w:p>
    <w:p>
      <w:pPr>
        <w:pStyle w:val="822"/>
        <w:ind w:firstLine="708"/>
        <w:jc w:val="both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31"/>
      </w:pPr>
      <w:r>
        <w:t xml:space="preserve">    </w:t>
      </w:r>
      <w:r>
        <w:t xml:space="preserve">    </w:t>
      </w:r>
      <w:r/>
    </w:p>
    <w:p>
      <w:pPr>
        <w:pStyle w:val="831"/>
      </w:pPr>
      <w:r/>
      <w:r/>
    </w:p>
    <w:p>
      <w:pPr>
        <w:pStyle w:val="824"/>
      </w:pPr>
      <w:r>
        <w:t xml:space="preserve">Глава администрации</w:t>
      </w:r>
      <w:r>
        <w:rPr>
          <w:b w:val="0"/>
        </w:rPr>
        <w:t xml:space="preserve"> </w:t>
      </w:r>
      <w:r>
        <w:t xml:space="preserve">Прилепенского</w:t>
      </w:r>
      <w:r/>
    </w:p>
    <w:p>
      <w:pPr>
        <w:pStyle w:val="822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сельского поселения                               </w:t>
      </w:r>
      <w:r>
        <w:rPr>
          <w:rFonts w:ascii="Times New Roman" w:hAnsi="Times New Roman"/>
          <w:b/>
          <w:sz w:val="28"/>
        </w:rPr>
        <w:t xml:space="preserve">                                  </w:t>
      </w:r>
      <w:r>
        <w:rPr>
          <w:rFonts w:ascii="Times New Roman" w:hAnsi="Times New Roman"/>
          <w:b/>
          <w:sz w:val="28"/>
        </w:rPr>
        <w:t xml:space="preserve">     </w:t>
      </w:r>
      <w:r>
        <w:rPr>
          <w:rFonts w:ascii="Times New Roman" w:hAnsi="Times New Roman"/>
          <w:b/>
          <w:sz w:val="28"/>
        </w:rPr>
        <w:t xml:space="preserve">   </w:t>
      </w:r>
      <w:r>
        <w:rPr>
          <w:rFonts w:ascii="Times New Roman" w:hAnsi="Times New Roman"/>
          <w:b/>
          <w:sz w:val="28"/>
        </w:rPr>
        <w:t xml:space="preserve">С.Н. Казбанов</w:t>
      </w:r>
      <w:r/>
    </w:p>
    <w:p>
      <w:pPr>
        <w:pStyle w:val="822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</w:r>
      <w:r/>
    </w:p>
    <w:p>
      <w:pPr>
        <w:pStyle w:val="822"/>
        <w:spacing w:after="0" w:line="240" w:lineRule="auto"/>
        <w:rPr>
          <w:rFonts w:ascii="Arial CYR" w:hAnsi="Arial CYR"/>
          <w:sz w:val="20"/>
          <w:szCs w:val="20"/>
        </w:rPr>
        <w:sectPr>
          <w:footnotePr/>
          <w:endnotePr/>
          <w:type w:val="nextPage"/>
          <w:pgSz w:w="11906" w:h="16838" w:orient="portrait"/>
          <w:pgMar w:top="568" w:right="567" w:bottom="357" w:left="1418" w:header="709" w:footer="709" w:gutter="0"/>
          <w:cols w:num="1" w:sep="0" w:space="708" w:equalWidth="1"/>
          <w:docGrid w:linePitch="360"/>
        </w:sectPr>
      </w:pPr>
      <w:r>
        <w:rPr>
          <w:rFonts w:ascii="Arial CYR" w:hAnsi="Arial CYR"/>
          <w:sz w:val="20"/>
          <w:szCs w:val="20"/>
        </w:rPr>
      </w:r>
      <w:r/>
    </w:p>
    <w:tbl>
      <w:tblPr>
        <w:tblW w:w="9423" w:type="dxa"/>
        <w:tblInd w:w="93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4233"/>
        <w:gridCol w:w="3152"/>
        <w:gridCol w:w="2038"/>
      </w:tblGrid>
      <w:tr>
        <w:trPr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233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  <w:sz w:val="20"/>
                <w:szCs w:val="20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52" w:type="dxa"/>
            <w:vAlign w:val="bottom"/>
            <w:textDirection w:val="lrTb"/>
            <w:noWrap/>
          </w:tcPr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</w:r>
            <w:r>
              <w:rPr>
                <w:sz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038" w:type="dxa"/>
            <w:vAlign w:val="bottom"/>
            <w:textDirection w:val="lrTb"/>
            <w:noWrap/>
          </w:tcPr>
          <w:p>
            <w:pPr>
              <w:pStyle w:val="822"/>
              <w:ind w:left="-142" w:right="0" w:firstLine="142"/>
              <w:jc w:val="right"/>
              <w:spacing w:after="0" w:line="240" w:lineRule="auto"/>
              <w:rPr>
                <w:rFonts w:ascii="Times New Roman" w:hAnsi="Times New Roman"/>
                <w:b/>
                <w:sz w:val="24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0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left="-142" w:right="0" w:firstLine="0"/>
              <w:jc w:val="left"/>
              <w:spacing w:after="0" w:line="240" w:lineRule="auto"/>
              <w:rPr>
                <w:rFonts w:ascii="Times New Roman" w:hAnsi="Times New Roman"/>
                <w:b/>
                <w:sz w:val="24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0"/>
              </w:rPr>
              <w:t xml:space="preserve">Приложение № 1</w:t>
            </w:r>
            <w:r>
              <w:rPr>
                <w:sz w:val="24"/>
              </w:rPr>
            </w:r>
            <w:r/>
          </w:p>
        </w:tc>
      </w:tr>
      <w:tr>
        <w:trPr>
          <w:trHeight w:val="129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233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190" w:type="dxa"/>
            <w:vAlign w:val="top"/>
            <w:textDirection w:val="lrTb"/>
            <w:noWrap/>
          </w:tcPr>
          <w:p>
            <w:pPr>
              <w:pStyle w:val="822"/>
              <w:jc w:val="right"/>
              <w:spacing w:after="0" w:line="240" w:lineRule="auto"/>
              <w:rPr>
                <w:rStyle w:val="841"/>
                <w:rFonts w:ascii="Times New Roman" w:hAnsi="Times New Roman"/>
                <w:sz w:val="24"/>
                <w:szCs w:val="20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к постановлению администрации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Style w:val="841"/>
                <w:rFonts w:ascii="Times New Roman" w:hAnsi="Times New Roman"/>
                <w:sz w:val="24"/>
                <w:szCs w:val="20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Прилепенского сельского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 поселения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муниципального района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«Чернянский район» Белгородской области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28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.0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4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.20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2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5 г. № 30/1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>
              <w:rPr>
                <w:sz w:val="24"/>
              </w:rPr>
            </w:r>
            <w:r/>
          </w:p>
        </w:tc>
      </w:tr>
      <w:tr>
        <w:trPr>
          <w:trHeight w:val="36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233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  <w:sz w:val="20"/>
                <w:szCs w:val="20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52" w:type="dxa"/>
            <w:vAlign w:val="bottom"/>
            <w:textDirection w:val="lrTb"/>
            <w:noWrap/>
          </w:tcPr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038" w:type="dxa"/>
            <w:vAlign w:val="bottom"/>
            <w:textDirection w:val="lrTb"/>
            <w:noWrap/>
          </w:tcPr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</w:tr>
      <w:tr>
        <w:trPr>
          <w:trHeight w:val="255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423" w:type="dxa"/>
            <w:vAlign w:val="bottom"/>
            <w:textDirection w:val="lrTb"/>
            <w:noWrap/>
          </w:tcPr>
          <w:p>
            <w:pPr>
              <w:jc w:val="center"/>
              <w:spacing w:line="240" w:lineRule="auto"/>
              <w:rPr>
                <w:sz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ПОСТУПЛЕНИЕ ДОХОДОВ В  БЮДЖЕТ  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ПРИЛЕПЕНСКОГО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 СЕЛЬСКОГО ПОСЕЛЕНИЯ ЗА 1 КВАРТАЛ 2025 ГОДА</w:t>
            </w:r>
            <w:r>
              <w:rPr>
                <w:sz w:val="28"/>
              </w:rPr>
            </w:r>
            <w:r/>
          </w:p>
        </w:tc>
      </w:tr>
      <w:tr>
        <w:trPr>
          <w:cantSplit/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233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  <w:sz w:val="20"/>
                <w:szCs w:val="20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52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right w:val="none" w:color="000000" w:sz="4" w:space="0"/>
            </w:tcBorders>
            <w:tcW w:w="2038" w:type="dxa"/>
            <w:vAlign w:val="bottom"/>
            <w:vMerge w:val="restart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/             тыс.руб./</w:t>
            </w:r>
            <w:r/>
          </w:p>
        </w:tc>
      </w:tr>
      <w:tr>
        <w:trPr>
          <w:cantSplit/>
          <w:trHeight w:val="294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233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  <w:sz w:val="20"/>
                <w:szCs w:val="20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152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tcBorders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038" w:type="dxa"/>
            <w:vAlign w:val="bottom"/>
            <w:vMerge w:val="continue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</w:tr>
      <w:tr>
        <w:trPr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показателя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Код дохода по КД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bottom"/>
            <w:textDirection w:val="lrTb"/>
            <w:noWrap/>
          </w:tcPr>
          <w:p>
            <w:pPr>
              <w:pStyle w:val="663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Исполнено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72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НАЛОГОВЫЕ И НЕНАЛОГОВЫЕ ДОХОДЫ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000 1 00 00000 00 0000 000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2981,7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</w:tr>
      <w:tr>
        <w:trPr>
          <w:trHeight w:val="48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НАЛОГИ НА ПРИБЫЛЬ, ДОХОДЫ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000 1 01 00000 00 0000 000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78,1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86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Налог на доходы физических лиц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000 1 01 02010 01 0000 110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78,0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34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Налог на доходы физических лиц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000 1 01 02020 01 0000 110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8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НАЛОГИ НА СОВОКУПНЫЙ ДОХОД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000 1 05 00000 00 0000 000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2401,3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Единый сельскохозяйственный налог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000 1 05 03000 01 0000 110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2401,3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НАЛОГИ НА ИМУЩЕСТВО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000 1 06 00000 00 0000 000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500,7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Налог на имущество физических лиц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000 1 06 01030 10 0000 110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налог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000 1 06 06033 10 0000 110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403,8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налог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000 1 06 06043 10 0000 110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77,9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000 1 11 00000 00 0000 000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Доходы, получаемые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виде арендной либо иной платы за передачу в возмездное пользование государственного и муниципального имущества (за исключением имущества автономных учреждений, а также имущества государственных и муниципальных унитарных предприятий, в том числе казенных)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000 1 11 05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0 0000 120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Доходы от сдачи в аренду имущества, составляющего казну сельских поселений (за исключением земельных участков)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000 1 11 05075 10 0000 120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Доходы от оказания платных услуг и компенсация затрат государства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000 1 13 00000 00 0000 000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Прочие доходы от компенсации затрат бюджетов сельских поселений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1 13 02995 10 0000 130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Штрафы, санкции, возмещение ущерба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1 16 00000 00 0000 000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1,0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Административные штрафы, установленные законами субъектов РФ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000 1 16 02020 02 0000 140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БЕЗВОЗМЕЗДНЫЕ ПОСТУПЛЕНИЯ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000 2 00 00000 00 0000 000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1993,4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Безвозмездные поступления от других бюджетов бюджетной системы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000 2 02 00000 00 0000 000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1993,4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Дотации бюджетам субъектов Российской Федерации и муниципальных образований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000 2 02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000 00 0000 150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1970,0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Дотации бюджетам поселений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000 2 02 16001 10 0000 150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1970,0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Субвенции бюджетам субъектов Российской Федерации и муниципальных образований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000 2 02 3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000 00 0000 150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Субвенции бюджетам поселений на осуществление первичного воинского учета на территориях, где отсутствуют военные комиссариаты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000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2 02 35118 10 0000 150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trHeight w:val="45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233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ВСЕГО ДОХОДЫ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5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038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4975,1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</w:tbl>
    <w:p>
      <w:pPr>
        <w:pStyle w:val="663"/>
        <w:rPr>
          <w:sz w:val="24"/>
        </w:rPr>
      </w:pPr>
      <w:r>
        <w:rPr>
          <w:sz w:val="24"/>
        </w:rPr>
      </w:r>
      <w:r>
        <w:rPr>
          <w:sz w:val="24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tbl>
      <w:tblPr>
        <w:tblW w:w="12172" w:type="dxa"/>
        <w:tblInd w:w="-743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3969"/>
        <w:gridCol w:w="992"/>
        <w:gridCol w:w="1417"/>
        <w:gridCol w:w="1545"/>
        <w:gridCol w:w="1261"/>
        <w:gridCol w:w="1135"/>
        <w:gridCol w:w="1853"/>
      </w:tblGrid>
      <w:tr>
        <w:trPr>
          <w:gridAfter w:val="1"/>
          <w:trHeight w:val="255"/>
        </w:trPr>
        <w:tc>
          <w:tcPr>
            <w:gridSpan w:val="6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319" w:type="dxa"/>
            <w:vAlign w:val="bottom"/>
            <w:textDirection w:val="lrTb"/>
            <w:noWrap/>
          </w:tcPr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           </w:t>
            </w:r>
            <w:r>
              <w:rPr>
                <w:rFonts w:ascii="Times New Roman" w:hAnsi="Times New Roman"/>
                <w:b/>
                <w:sz w:val="24"/>
                <w:szCs w:val="20"/>
              </w:rPr>
              <w:t xml:space="preserve"> Приложение № 2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к постановлению администрации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Прилепенского сельского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 поселения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муниципального района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«Чернянский район» Белгородской области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0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28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.0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4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.20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2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5 г. №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30/1</w:t>
            </w:r>
            <w:r>
              <w:rPr>
                <w:sz w:val="20"/>
                <w:szCs w:val="20"/>
              </w:rPr>
            </w:r>
            <w:r/>
          </w:p>
        </w:tc>
      </w:tr>
      <w:tr>
        <w:trPr>
          <w:gridAfter w:val="1"/>
          <w:trHeight w:val="1752"/>
        </w:trPr>
        <w:tc>
          <w:tcPr>
            <w:gridSpan w:val="6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319" w:type="dxa"/>
            <w:vAlign w:val="bottom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Распределение расходов бюджета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Прилепенского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сельского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поселения по разделам, подразделам функциональной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классификации расходов бюджетов Российской Федерации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за 1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квартал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5 года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  <w:p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                                    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/тыс.рублей/</w:t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</w:tr>
      <w:tr>
        <w:trPr>
          <w:cantSplit/>
          <w:trHeight w:val="101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Подраздел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Целевая статья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Вид расходов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top"/>
            <w:textDirection w:val="lrTb"/>
            <w:noWrap w:val="false"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Сумма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000000" w:sz="4" w:space="0"/>
            </w:tcBorders>
            <w:tcW w:w="1853" w:type="dxa"/>
            <w:vAlign w:val="top"/>
            <w:textDirection w:val="lrTb"/>
            <w:noWrap w:val="false"/>
          </w:tcPr>
          <w:p>
            <w:pPr>
              <w:pStyle w:val="822"/>
              <w:ind w:left="0" w:right="1140" w:firstLine="0"/>
              <w:jc w:val="center"/>
              <w:spacing w:after="0" w:line="240" w:lineRule="auto"/>
              <w:tabs>
                <w:tab w:val="left" w:pos="567" w:leader="none"/>
              </w:tabs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Общегосударственные вопросы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530,1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Функционирование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Правительства Российской Федерации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высших исполнительных органов государственной власти субъектов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РФ,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местных администраций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530,1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</w:tr>
      <w:tr>
        <w:trPr>
          <w:gridAfter w:val="1"/>
          <w:trHeight w:val="778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Непрограммные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расходы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top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530,1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Иные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непрограммные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мероприятия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530,1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Обеспечение функций органов  местного самоуправления по функционированию представительных органов муниципальных образований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312,4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Расходы на выплаты персоналу в целях обеспечения функций государственными органами, казенными учреждениями, органами управления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102,9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Расходы на выплату персоналу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102,9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Фонд оплаты труда и страховые взносы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83,1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 органов)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19,8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Закупка товаров, работ и услуг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207,8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76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Иные закупки товаров, работ и услуг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207,8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766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Закупка товаров, работ и услуг в сфере информационно-коммуникационных технологий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242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top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52,8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67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top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Прочие закупки товаров, работ и услуг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142,0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Закупка энергетических ресурсов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247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13,0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51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Иные бюджетные ассигнования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800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1,7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17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Уплата налогов, сборов и иных платежей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850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1,7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2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Уплата транспортного налога организаций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9990090019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852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1,7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51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Непрограммные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расходы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217,7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51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Иные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непрограммные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мероприятия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217,7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Обеспечение функций органов местного самоуправления по функционированию органов местного самоуправления (главы сельских поселений)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9990000410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217,7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</w:tr>
      <w:tr>
        <w:trPr>
          <w:gridAfter w:val="1"/>
          <w:trHeight w:val="2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Расходы на выплату персоналу в целях обеспечения функций государственными органами, казенными учреждениями, органами управления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9990000410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217,7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Расходы на выплату персоналу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9990000410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217,7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Фонд оплаты труда и страховые взносы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9990000410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174,9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 органов)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99</w:t>
            </w:r>
            <w:r>
              <w:rPr>
                <w:rFonts w:ascii="Times New Roman" w:hAnsi="Times New Roman"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9990000410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42,8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Национальная оборона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78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Мобилизационная и вневойсковая подготовка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Непрограммные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расходы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99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Иные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непрограммные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мероприятия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999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Осуществление полномочий по первичному воинскому учету на территориях, где отсутствуют военные комиссариаты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9990051180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Расходы на выплаты персоналу в целях обеспечения функций государственными органами, казенными учреждениями, органами управления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9990051180</w:t>
            </w:r>
            <w:r>
              <w:rPr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Расходы на выплату персоналу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9990051180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23,4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Фонд оплаты труда и страховые взносы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9990051180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121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18,0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органов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02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9990051180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129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5,4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Национальная безопасность и правоохранительная деятельность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268,4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Защита населения  и  территории от чрезвычайных ситуаций природного и техногенного характера, гражданская оборона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268,4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Муниципальная программа  «Устойчивое развитие сельских территорий Прилепенского сельского поселения»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268,4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Комплекс процессных мероприятий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268,4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Комплекс процессных мероприятий «Реализация мероприятий по созданию условий для безопасного проживания жителей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Прилепенского сельского поселения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01402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268,4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Подготовка населения и организаций к действиям в чрезвычайных ситуациях, обеспечение пожарной безопасности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0140220340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268,4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Закупка товаров, работ и услуг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0140220340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266,9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Иные закупки товаров, работ и услуг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0140220340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266,9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Прочие закупки товаров, работ и услуг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0140220340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266,9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Иные бюджетные ассигнования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0140220340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800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1,5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Уплата налогов, сборов и иных платежей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0140220340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850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Уплата транспортного налога организаций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0140220340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852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1,5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Жилищно-коммунальное хозяйство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1870,8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Благоустройство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1870,8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Муниципальная программа «Устойчивое развитие сельских территорий Прилепенского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1870,8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Комплекс процессных мероприятий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1870,8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Комплекс процессных мероприятий «Реализация мероприятий по благоустройству территории Прилепенского сельского поселения»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01401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1870,8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Благоустройство населенных пунктов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0120010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1870,8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Закупка товаров, работ и услуг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0120010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1870,3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Иные закупки товаров, работ и услуг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0120010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1870,3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Прочие закупки товаров, работ и услуг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0120010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244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1870,3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Иные бюджетные ассигнования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014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0120010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800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/>
                <w:b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Уплата налогов, сборов и иных платежей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0120010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850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Уплата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прочих налогов 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транспортный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03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014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0120010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852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/>
                <w:sz w:val="24"/>
                <w:szCs w:val="24"/>
              </w:rPr>
            </w:r>
            <w:r/>
          </w:p>
        </w:tc>
      </w:tr>
      <w:tr>
        <w:trPr>
          <w:gridAfter w:val="1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969" w:type="dxa"/>
            <w:vAlign w:val="center"/>
            <w:vMerge w:val="restart"/>
            <w:textDirection w:val="lrTb"/>
            <w:noWrap w:val="false"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Всего расходов по бюджету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4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61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  <w:r>
              <w:rPr>
                <w:rFonts w:ascii="Times New Roman" w:hAnsi="Times New Roman"/>
                <w:sz w:val="28"/>
                <w:szCs w:val="28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5" w:type="dxa"/>
            <w:vAlign w:val="center"/>
            <w:vMerge w:val="restart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2692,7</w:t>
            </w:r>
            <w:r>
              <w:rPr>
                <w:rFonts w:ascii="Times New Roman" w:hAnsi="Times New Roman"/>
                <w:b/>
                <w:sz w:val="28"/>
                <w:szCs w:val="28"/>
              </w:rPr>
            </w:r>
            <w:r/>
          </w:p>
        </w:tc>
      </w:tr>
    </w:tbl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p>
      <w:pPr>
        <w:pStyle w:val="82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  <w:r/>
    </w:p>
    <w:tbl>
      <w:tblPr>
        <w:tblW w:w="9746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9746"/>
      </w:tblGrid>
      <w:tr>
        <w:trPr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746" w:type="dxa"/>
            <w:vAlign w:val="bottom"/>
            <w:textDirection w:val="lrTb"/>
            <w:noWrap/>
          </w:tcPr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sz w:val="24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</w:p>
          <w:p>
            <w:pPr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r>
            <w:r/>
          </w:p>
          <w:p>
            <w:pPr>
              <w:pStyle w:val="822"/>
              <w:jc w:val="right"/>
              <w:spacing w:after="0" w:line="240" w:lineRule="auto"/>
              <w:tabs>
                <w:tab w:val="left" w:pos="9960" w:leader="none"/>
              </w:tabs>
              <w:rPr>
                <w:rFonts w:ascii="Times New Roman" w:hAnsi="Times New Roman"/>
                <w:b/>
                <w:sz w:val="24"/>
                <w:szCs w:val="20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szCs w:val="20"/>
              </w:rPr>
              <w:t xml:space="preserve">Приложение № 3</w:t>
            </w:r>
            <w:r>
              <w:rPr>
                <w:sz w:val="24"/>
              </w:rPr>
            </w:r>
            <w:r/>
          </w:p>
        </w:tc>
      </w:tr>
      <w:tr>
        <w:trPr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746" w:type="dxa"/>
            <w:vAlign w:val="top"/>
            <w:textDirection w:val="lrTb"/>
            <w:noWrap/>
          </w:tcPr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к постановлению администрации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Style w:val="841"/>
                <w:rFonts w:ascii="Times New Roman" w:hAnsi="Times New Roman"/>
                <w:sz w:val="24"/>
                <w:szCs w:val="20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Прилепенского </w:t>
            </w: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сельского</w:t>
            </w:r>
            <w:r>
              <w:rPr>
                <w:rStyle w:val="841"/>
                <w:rFonts w:ascii="Times New Roman" w:hAnsi="Times New Roman"/>
                <w:sz w:val="24"/>
                <w:szCs w:val="20"/>
              </w:rPr>
              <w:t xml:space="preserve"> поселения </w:t>
            </w:r>
            <w:r>
              <w:rPr>
                <w:rStyle w:val="841"/>
                <w:rFonts w:ascii="Times New Roman" w:hAnsi="Times New Roman"/>
                <w:sz w:val="24"/>
                <w:szCs w:val="20"/>
              </w:rPr>
            </w:r>
            <w:r/>
          </w:p>
          <w:p>
            <w:pPr>
              <w:jc w:val="right"/>
              <w:spacing w:after="0" w:line="240" w:lineRule="auto"/>
              <w:rPr>
                <w:rStyle w:val="841"/>
                <w:rFonts w:ascii="Times New Roman" w:hAnsi="Times New Roman"/>
                <w:sz w:val="24"/>
                <w:szCs w:val="20"/>
              </w:rPr>
            </w:pPr>
            <w:r>
              <w:rPr>
                <w:rStyle w:val="841"/>
                <w:rFonts w:ascii="Times New Roman" w:hAnsi="Times New Roman"/>
                <w:sz w:val="24"/>
                <w:szCs w:val="20"/>
              </w:rPr>
            </w:r>
            <w:r>
              <w:rPr>
                <w:rFonts w:ascii="Times New Roman" w:hAnsi="Times New Roman"/>
                <w:sz w:val="24"/>
                <w:szCs w:val="20"/>
              </w:rPr>
              <w:t xml:space="preserve">муниципального района </w:t>
            </w:r>
            <w:r>
              <w:rPr>
                <w:rStyle w:val="841"/>
                <w:rFonts w:ascii="Times New Roman" w:hAnsi="Times New Roman"/>
                <w:sz w:val="24"/>
                <w:szCs w:val="20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«Чернянский район» Белгородской области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>
              <w:rPr>
                <w:sz w:val="24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28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.0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4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.20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2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5 г. №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30/1</w:t>
            </w:r>
            <w:r>
              <w:rPr>
                <w:sz w:val="24"/>
              </w:rPr>
            </w:r>
            <w:r/>
          </w:p>
        </w:tc>
      </w:tr>
    </w:tbl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tbl>
      <w:tblPr>
        <w:tblW w:w="10068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10068"/>
      </w:tblGrid>
      <w:tr>
        <w:trPr>
          <w:trHeight w:val="37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068" w:type="dxa"/>
            <w:vAlign w:val="bottom"/>
            <w:textDirection w:val="lrTb"/>
            <w:noWrap/>
          </w:tcPr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Ведомственная структура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расходов бюджета Прилепенского сельского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поселения за 1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квартал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20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5 года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</w:tc>
      </w:tr>
      <w:tr>
        <w:trPr>
          <w:trHeight w:val="21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068" w:type="dxa"/>
            <w:vAlign w:val="bottom"/>
            <w:textDirection w:val="lrTb"/>
            <w:noWrap/>
          </w:tcPr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/тыс.рублей/</w:t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</w:tr>
      <w:tr>
        <w:trPr>
          <w:trHeight w:val="21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068" w:type="dxa"/>
            <w:vAlign w:val="bottom"/>
            <w:textDirection w:val="lrTb"/>
            <w:noWrap/>
          </w:tcPr>
          <w:tbl>
            <w:tblPr>
              <w:tblW w:w="5000" w:type="pct"/>
              <w:tblInd w:w="0" w:type="dxa"/>
              <w:tblBorders>
                <w:top w:val="single" w:color="000000" w:sz="4" w:space="0"/>
                <w:left w:val="single" w:color="000000" w:sz="4" w:space="0"/>
                <w:bottom w:val="single" w:color="000000" w:sz="4" w:space="0"/>
                <w:right w:val="single" w:color="000000" w:sz="4" w:space="0"/>
                <w:insideH w:val="single" w:color="000000" w:sz="4" w:space="0"/>
                <w:insideV w:val="single" w:color="000000" w:sz="4" w:space="0"/>
              </w:tblBorders>
              <w:tblLayout w:type="autofit"/>
              <w:tblCellMar>
                <w:left w:w="108" w:type="dxa"/>
                <w:top w:w="0" w:type="dxa"/>
                <w:right w:w="108" w:type="dxa"/>
                <w:bottom w:w="0" w:type="dxa"/>
              </w:tblCellMar>
              <w:tblLook w:val="04A0" w:firstRow="1" w:lastRow="0" w:firstColumn="1" w:lastColumn="0" w:noHBand="0" w:noVBand="1"/>
            </w:tblPr>
            <w:tblGrid>
              <w:gridCol w:w="2820"/>
              <w:gridCol w:w="1362"/>
              <w:gridCol w:w="942"/>
              <w:gridCol w:w="1357"/>
              <w:gridCol w:w="1216"/>
              <w:gridCol w:w="1188"/>
              <w:gridCol w:w="957"/>
            </w:tblGrid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Наименование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Ведомство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Раздел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Подраздел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Целевая статья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Вид расходов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Сумма 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ВСЕГО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2692,7</w:t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711"/>
              </w:trPr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Администрация Прилепенского сельского поселения муниципального района «Чернянский район» Белгородской области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2692,7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Общегосударственные вопросы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530,1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Функционирование Правительства Российской Федерации   местных администраций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530,1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Непрограммные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530,1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Иные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непрограммные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мероприятия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530,1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Обеспечение функций органов местного самоуправления по функционированию представительных органов муниципальных образований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312,4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Расходы на выплату персоналу в целях обеспечения функций государственными органами, казенными учреждениями, органами управления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102,9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05"/>
              </w:trPr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Расходы на выплату персоналу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102,9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83"/>
              </w:trPr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Фонд оплаты труда и страховые взносы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83,1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167"/>
              </w:trPr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19,8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Закупка товаров, работ и услуг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207,8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закупки товаров, работ и услуг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207,8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Закупка товаров, работ и услуг в сфере информационно-коммуникационных технологий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52,8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Прочие закупки товаров, работ и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услуг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142,0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Закупка энергетических ресурсов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247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13,0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Иные бюджетные ассигнования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800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1,7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Уплата налогов, сборов и иных платежей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850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1,7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Уплата прочих налогов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(транспортный налог)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852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1,7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Непрограммные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217,7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Иные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непрограммные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мероприятия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217,7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Обеспечение функций органов местного самоуправления по функционированию органов местного самоуправления (главы сельских поселений)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9990000410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217,7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Расходы на выплату персоналу в целях обеспечения функций государственными органами, казенными учреждениями, органами управления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9990000410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217,7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Расходы на выплату персоналу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9990000410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217,7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Фонд оплаты труда и страховые взносы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9990000410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174,9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9990000410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42,8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Национальная оборона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Мобилизационная и вневойсковая подготовка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Непрограммные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992"/>
              </w:trPr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Иные 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непрограммные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мероприятия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Осуществление полномочий  по первичному воинскому учету на территориях, где отсутствуют военные комиссариаты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9990051180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Расходы на выплаты персоналу в целях обеспечения функций государственными органами, казенными учреждениями, органами управления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9990051180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Расходы на выплату персоналу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9990051180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Фонд оплаты труда и страховые взносы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9990051180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18,0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9990051180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129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5,4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Национальная безопасность и правоохранительная деятельность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268,4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Защита населения  и  территории от чрезвычайных ситуаций природного и техногенного характера, гражданская оборона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268,4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Муниципальная программа «Устойчивое развитие сельских территорий Прилепенского сельского поселения»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268,4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Комплекс процессных мероприятий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268,4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Комплекс процессных мероприятий «Реализация мероприятий по созданию условий для безопасного проживания жителей Прилепенского сельского поселения»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268,4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Закупка товаров, работ и услуг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20340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266,9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закупки товаров, работ и услуг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20340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266,9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Прочие закупки товаров, работ и услуг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20340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266,9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Иные бюджетные ассигнования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20340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800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1,5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Уплата налогов, сборов и иных платежей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20340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850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1,5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350"/>
              </w:trPr>
              <w:tc>
                <w:tcPr>
                  <w:tcW w:w="2820" w:type="dxa"/>
                  <w:vAlign w:val="bottom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Уплата прочих налогов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20340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852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1,5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bottom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Жилищно-коммунальное хозяйство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bottom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Благоустройство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7"/>
              </w:trPr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Муниципальной программы «Устойчивое развитие сельских территорий Прилепенского сельского поселения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Комплекс процессных мероприятий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Комплекс процессных мероприятий «Реализация мероприятий по благоустройству территории Прилепенского сельского поселения»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Благоустройство населенных пунктов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0120010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Закупка товаров, работ и услуг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0120010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Иные закупки товаров, работ и услуг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0120010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1870,3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Прочие закупки товаров, работ и услуг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0120010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244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1870,3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Иные бюджетные ассигнования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0120010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800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0,5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Уплата налогов, сборов и иных платежей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0120010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850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0,5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/>
              <w:tc>
                <w:tcPr>
                  <w:tcW w:w="2820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left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Уплата прочих налогов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914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42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216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0120010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188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852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9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0,5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</w:tbl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</w:r>
            <w:r>
              <w:rPr>
                <w:sz w:val="24"/>
              </w:rPr>
            </w:r>
            <w:r/>
          </w:p>
        </w:tc>
      </w:tr>
    </w:tbl>
    <w:p>
      <w:pPr>
        <w:jc w:val="right"/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  <w:r>
        <w:rPr>
          <w:sz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  <w:r>
        <w:rPr>
          <w:sz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  <w:r>
        <w:rPr>
          <w:sz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  <w:r>
        <w:rPr>
          <w:sz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8"/>
        </w:rPr>
      </w:r>
      <w:r>
        <w:rPr>
          <w:rFonts w:ascii="Times New Roman" w:hAnsi="Times New Roman"/>
          <w:sz w:val="24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8"/>
        </w:rPr>
      </w:r>
      <w:r>
        <w:rPr>
          <w:sz w:val="24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tbl>
      <w:tblPr>
        <w:tblW w:w="9606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10137"/>
      </w:tblGrid>
      <w:tr>
        <w:trPr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137" w:type="dxa"/>
            <w:vAlign w:val="bottom"/>
            <w:textDirection w:val="lrTb"/>
            <w:noWrap/>
          </w:tcPr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tbl>
            <w:tblPr>
              <w:tblW w:w="9638" w:type="dxa"/>
              <w:tblInd w:w="0" w:type="dxa"/>
              <w:tblLayout w:type="fixed"/>
              <w:tblCellMar>
                <w:left w:w="108" w:type="dxa"/>
                <w:top w:w="0" w:type="dxa"/>
                <w:right w:w="108" w:type="dxa"/>
                <w:bottom w:w="0" w:type="dxa"/>
              </w:tblCellMar>
              <w:tblLook w:val="00A0" w:firstRow="1" w:lastRow="0" w:firstColumn="1" w:lastColumn="0" w:noHBand="0" w:noVBand="0"/>
            </w:tblPr>
            <w:tblGrid>
              <w:gridCol w:w="9638"/>
            </w:tblGrid>
            <w:tr>
              <w:trPr>
                <w:trHeight w:val="255"/>
              </w:trPr>
              <w:tc>
                <w:tcPr>
                  <w:tcBorders>
                    <w:top w:val="none" w:color="000000" w:sz="4" w:space="0"/>
                    <w:left w:val="none" w:color="000000" w:sz="4" w:space="0"/>
                    <w:bottom w:val="none" w:color="000000" w:sz="4" w:space="0"/>
                    <w:right w:val="none" w:color="000000" w:sz="4" w:space="0"/>
                  </w:tcBorders>
                  <w:tcW w:w="9638" w:type="dxa"/>
                  <w:vAlign w:val="bottom"/>
                  <w:textDirection w:val="lrTb"/>
                  <w:noWrap/>
                </w:tcPr>
                <w:p>
                  <w:pPr>
                    <w:pStyle w:val="822"/>
                    <w:ind w:firstLine="708"/>
                    <w:jc w:val="right"/>
                    <w:spacing w:after="0" w:line="240" w:lineRule="auto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                                                      </w:t>
                  </w:r>
                  <w:r>
                    <w:rPr>
                      <w:rFonts w:ascii="Times New Roman" w:hAnsi="Times New Roman"/>
                      <w:b/>
                      <w:sz w:val="24"/>
                    </w:rPr>
                  </w:r>
                  <w:r/>
                </w:p>
                <w:p>
                  <w:pPr>
                    <w:ind w:firstLine="708"/>
                    <w:jc w:val="right"/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   </w:t>
                  </w:r>
                  <w:r>
                    <w:rPr>
                      <w:rFonts w:ascii="Times New Roman" w:hAnsi="Times New Roman"/>
                      <w:b/>
                      <w:sz w:val="24"/>
                    </w:rPr>
                    <w:t xml:space="preserve">  Приложение №</w:t>
                  </w:r>
                  <w:r>
                    <w:rPr>
                      <w:rFonts w:ascii="Times New Roman" w:hAnsi="Times New Roman"/>
                      <w:b/>
                      <w:sz w:val="24"/>
                    </w:rPr>
                    <w:t xml:space="preserve">4</w:t>
                  </w:r>
                  <w:r>
                    <w:rPr>
                      <w:sz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Borders>
                    <w:top w:val="none" w:color="000000" w:sz="4" w:space="0"/>
                    <w:left w:val="none" w:color="000000" w:sz="4" w:space="0"/>
                    <w:bottom w:val="none" w:color="000000" w:sz="4" w:space="0"/>
                    <w:right w:val="none" w:color="000000" w:sz="4" w:space="0"/>
                  </w:tcBorders>
                  <w:tcW w:w="9638" w:type="dxa"/>
                  <w:vAlign w:val="top"/>
                  <w:textDirection w:val="lrTb"/>
                  <w:noWrap/>
                </w:tcPr>
                <w:p>
                  <w:pPr>
                    <w:pStyle w:val="822"/>
                    <w:ind w:firstLine="708"/>
                    <w:jc w:val="right"/>
                    <w:spacing w:after="0" w:line="240" w:lineRule="auto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к постановлению администрации </w:t>
                  </w:r>
                  <w:r>
                    <w:rPr>
                      <w:sz w:val="24"/>
                    </w:rPr>
                  </w:r>
                  <w:r/>
                </w:p>
                <w:p>
                  <w:pPr>
                    <w:pStyle w:val="822"/>
                    <w:ind w:firstLine="708"/>
                    <w:jc w:val="right"/>
                    <w:spacing w:after="0" w:line="240" w:lineRule="auto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Прилепенского сельского</w:t>
                  </w:r>
                  <w:r>
                    <w:rPr>
                      <w:sz w:val="24"/>
                    </w:rPr>
                  </w:r>
                  <w:r/>
                </w:p>
                <w:p>
                  <w:pPr>
                    <w:pStyle w:val="822"/>
                    <w:ind w:firstLine="708"/>
                    <w:jc w:val="right"/>
                    <w:spacing w:after="0" w:line="240" w:lineRule="auto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 поселения муниципального района </w:t>
                  </w:r>
                  <w:r>
                    <w:rPr>
                      <w:sz w:val="24"/>
                    </w:rPr>
                  </w:r>
                  <w:r/>
                </w:p>
                <w:p>
                  <w:pPr>
                    <w:pStyle w:val="822"/>
                    <w:ind w:firstLine="708"/>
                    <w:jc w:val="right"/>
                    <w:spacing w:after="0" w:line="240" w:lineRule="auto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«Чернянский район» Белгородской области </w:t>
                  </w:r>
                  <w:r>
                    <w:rPr>
                      <w:sz w:val="24"/>
                    </w:rPr>
                  </w:r>
                  <w:r/>
                </w:p>
                <w:p>
                  <w:pPr>
                    <w:pStyle w:val="822"/>
                    <w:ind w:firstLine="708"/>
                    <w:jc w:val="right"/>
                    <w:spacing w:after="0" w:line="240" w:lineRule="auto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 xml:space="preserve">                                                              от  2</w:t>
                  </w:r>
                  <w:r>
                    <w:rPr>
                      <w:rFonts w:ascii="Times New Roman" w:hAnsi="Times New Roman"/>
                      <w:sz w:val="24"/>
                    </w:rPr>
                    <w:t xml:space="preserve">8.04.202</w:t>
                  </w:r>
                  <w:r>
                    <w:rPr>
                      <w:rFonts w:ascii="Times New Roman" w:hAnsi="Times New Roman"/>
                      <w:sz w:val="24"/>
                    </w:rPr>
                    <w:t xml:space="preserve">5 г. № 30/1</w:t>
                  </w:r>
                  <w:r>
                    <w:rPr>
                      <w:sz w:val="24"/>
                    </w:rPr>
                  </w:r>
                  <w:r/>
                </w:p>
              </w:tc>
            </w:tr>
          </w:tbl>
          <w:p>
            <w:pPr>
              <w:jc w:val="center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</w:r>
            <w:r>
              <w:rPr>
                <w:rFonts w:ascii="Times New Roman" w:hAnsi="Times New Roman"/>
                <w:b/>
                <w:sz w:val="28"/>
                <w:szCs w:val="28"/>
                <w:highlight w:val="none"/>
              </w:rPr>
            </w:r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(муниципальным программам)  и непрограммным направлениям деятельности, группам видов расходов, разделам, подразделам классификации   расходов бюджета </w:t>
            </w:r>
            <w:r>
              <w:rPr>
                <w:sz w:val="28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за 1 квартал 2025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а</w:t>
            </w:r>
            <w:r>
              <w:rPr>
                <w:sz w:val="28"/>
              </w:rPr>
            </w:r>
            <w:r/>
          </w:p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 xml:space="preserve">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/ т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ыс.рублей/</w:t>
            </w:r>
            <w:r>
              <w:rPr>
                <w:sz w:val="24"/>
              </w:rPr>
            </w:r>
            <w:r/>
          </w:p>
          <w:tbl>
            <w:tblPr>
              <w:tblW w:w="9638" w:type="dxa"/>
              <w:tblInd w:w="0" w:type="dxa"/>
              <w:tblBorders>
                <w:top w:val="single" w:color="000000" w:sz="4" w:space="0"/>
                <w:left w:val="single" w:color="000000" w:sz="4" w:space="0"/>
                <w:bottom w:val="single" w:color="000000" w:sz="4" w:space="0"/>
                <w:right w:val="single" w:color="000000" w:sz="4" w:space="0"/>
                <w:insideH w:val="single" w:color="000000" w:sz="4" w:space="0"/>
                <w:insideV w:val="single" w:color="000000" w:sz="4" w:space="0"/>
              </w:tblBorders>
              <w:tblLayout w:type="fixed"/>
              <w:tblCellMar>
                <w:left w:w="108" w:type="dxa"/>
                <w:top w:w="0" w:type="dxa"/>
                <w:right w:w="108" w:type="dxa"/>
                <w:bottom w:w="0" w:type="dxa"/>
              </w:tblCellMar>
              <w:tblLook w:val="04A0" w:firstRow="1" w:lastRow="0" w:firstColumn="1" w:lastColumn="0" w:noHBand="0" w:noVBand="1"/>
            </w:tblPr>
            <w:tblGrid>
              <w:gridCol w:w="4499"/>
              <w:gridCol w:w="1457"/>
              <w:gridCol w:w="704"/>
              <w:gridCol w:w="731"/>
              <w:gridCol w:w="880"/>
              <w:gridCol w:w="1367"/>
            </w:tblGrid>
            <w:tr>
              <w:trPr>
                <w:trHeight w:val="523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Наименование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r>
                  <w:r/>
                </w:p>
              </w:tc>
              <w:tc>
                <w:tcPr>
                  <w:tcW w:w="1457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ЦСР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r>
                  <w:r/>
                </w:p>
              </w:tc>
              <w:tc>
                <w:tcPr>
                  <w:tcW w:w="704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Вр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.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r>
                  <w:r/>
                </w:p>
              </w:tc>
              <w:tc>
                <w:tcPr>
                  <w:tcW w:w="731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Рз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.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r>
                  <w:r/>
                </w:p>
              </w:tc>
              <w:tc>
                <w:tcPr>
                  <w:tcW w:w="880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Пр.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r>
                  <w:r/>
                </w:p>
              </w:tc>
              <w:tc>
                <w:tcPr>
                  <w:tcW w:w="1367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Сумма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r>
                  <w:r/>
                </w:p>
              </w:tc>
            </w:tr>
            <w:tr>
              <w:trPr>
                <w:trHeight w:val="29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1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1457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2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704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3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731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880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5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1367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6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Муниципальная программа «Устойчивое развитие сельских территорий Прилепенского сельского поселения Чернянского района Белгородской области»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2139,2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510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Комплекс процессных мероприятий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268,4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510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Комплекс процессных мероприятий «Реализация мероприятий по благоустройству территории Прилепенского сельского поселения</w:t>
                  </w:r>
                  <w:r>
                    <w:rPr>
                      <w:rFonts w:ascii="Times New Roman" w:hAnsi="Times New Roman"/>
                      <w:i/>
                      <w:sz w:val="24"/>
                      <w:szCs w:val="24"/>
                    </w:rPr>
                    <w:t xml:space="preserve">»</w:t>
                  </w:r>
                  <w:r>
                    <w:rPr>
                      <w:rFonts w:ascii="Times New Roman" w:hAnsi="Times New Roman"/>
                      <w:i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01401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268,4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480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Благоустройство населенных пунктов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0140120010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266,9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Благоустройство населенных пунктов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0140120010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1,5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Комплекс процессных мероприятий «Реализация мероприятий по созданию условий для безопасного проживания жителей Прилепенского сельского поселения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402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Основное мероприятие «Обеспечение пожарной безопасности»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0140220340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1870,8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Подготовка населения и организаций к действиям в чрезвычайных ситуациях, обеспечение пожарной безопасности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0140220340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1870,3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Подготовка населения и организаций к действиям в чрезвычайных ситуациях, обеспечение пожарной безопасности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0140220340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0,5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1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2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3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4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5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6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Непрограммная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деятельность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9990000000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553,5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9990000000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553,5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Обеспечение функций органов местного самоуправления  по функционированию представительных органов муниципальных образований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102,9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Обеспечение функций органов местного самоуправления  по функционированию представительных органов муниципальных образований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207,8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Обеспечение функций органов местного самоуправления  по функционированию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представительных органов муниципальных образований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9990090019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800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1,7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Обеспечение функций органов местного самоуправления по функционированию  органов местного самоуправления  (главы сельских поселений)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9990000410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01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217,7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9990051180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100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02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03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23,4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</w:r>
                  <w:r/>
                </w:p>
              </w:tc>
            </w:tr>
            <w:tr>
              <w:trPr>
                <w:trHeight w:val="255"/>
              </w:trPr>
              <w:tc>
                <w:tcPr>
                  <w:tcW w:w="4499" w:type="dxa"/>
                  <w:vAlign w:val="top"/>
                  <w:vMerge w:val="restart"/>
                  <w:textDirection w:val="lrTb"/>
                  <w:noWrap w:val="false"/>
                </w:tcPr>
                <w:p>
                  <w:pPr>
                    <w:jc w:val="both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ВСЕГО РАСХОДОВ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45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04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731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880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  <w:tc>
                <w:tcPr>
                  <w:tcW w:w="1367" w:type="dxa"/>
                  <w:vAlign w:val="center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spacing w:after="0" w:line="240" w:lineRule="auto"/>
                    <w:rPr>
                      <w:rFonts w:ascii="Times New Roman" w:hAnsi="Times New Roman"/>
                      <w:bCs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2692,7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r>
                  <w:r/>
                </w:p>
              </w:tc>
            </w:tr>
          </w:tbl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>
              <w:rPr>
                <w:rFonts w:ascii="Times New Roman" w:hAnsi="Times New Roman"/>
                <w:b/>
                <w:sz w:val="24"/>
                <w:highlight w:val="none"/>
              </w:rPr>
            </w:r>
            <w:r/>
          </w:p>
          <w:p>
            <w:pPr>
              <w:ind w:firstLine="708"/>
              <w:jc w:val="right"/>
              <w:spacing w:after="0" w:line="240" w:lineRule="auto"/>
              <w:rPr>
                <w:rFonts w:ascii="Times New Roman" w:hAnsi="Times New Roman"/>
                <w:b/>
                <w:sz w:val="24"/>
                <w:highlight w:val="none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rFonts w:ascii="Times New Roman" w:hAnsi="Times New Roman"/>
                <w:b/>
                <w:sz w:val="24"/>
              </w:rPr>
              <w:t xml:space="preserve">Приложение № </w:t>
            </w:r>
            <w:r>
              <w:rPr>
                <w:rFonts w:ascii="Times New Roman" w:hAnsi="Times New Roman"/>
                <w:b/>
                <w:sz w:val="24"/>
              </w:rPr>
              <w:t xml:space="preserve">5</w:t>
            </w:r>
            <w:r>
              <w:rPr>
                <w:sz w:val="24"/>
              </w:rPr>
            </w:r>
            <w:r/>
          </w:p>
        </w:tc>
      </w:tr>
      <w:tr>
        <w:trPr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137" w:type="dxa"/>
            <w:vAlign w:val="top"/>
            <w:textDirection w:val="lrTb"/>
            <w:noWrap/>
          </w:tcPr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 постановлению администрации 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Прилепенского сельского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поселения муниципального района 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«Чернянский район» Белгородской области 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 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 xml:space="preserve">28.0</w:t>
            </w:r>
            <w:r>
              <w:rPr>
                <w:rFonts w:ascii="Times New Roman" w:hAnsi="Times New Roman"/>
                <w:sz w:val="24"/>
              </w:rPr>
              <w:t xml:space="preserve">4</w:t>
            </w:r>
            <w:r>
              <w:rPr>
                <w:rFonts w:ascii="Times New Roman" w:hAnsi="Times New Roman"/>
                <w:sz w:val="24"/>
              </w:rPr>
              <w:t xml:space="preserve">.202</w:t>
            </w:r>
            <w:r>
              <w:rPr>
                <w:rFonts w:ascii="Times New Roman" w:hAnsi="Times New Roman"/>
                <w:sz w:val="24"/>
              </w:rPr>
              <w:t xml:space="preserve">5 г. № 30/1</w:t>
            </w:r>
            <w:r>
              <w:rPr>
                <w:sz w:val="24"/>
              </w:rPr>
            </w:r>
            <w:r/>
          </w:p>
        </w:tc>
      </w:tr>
    </w:tbl>
    <w:p>
      <w:pPr>
        <w:pStyle w:val="822"/>
        <w:jc w:val="right"/>
        <w:tabs>
          <w:tab w:val="left" w:pos="-426" w:leader="none"/>
        </w:tabs>
      </w:pPr>
      <w:r/>
      <w:r/>
    </w:p>
    <w:p>
      <w:pPr>
        <w:pStyle w:val="824"/>
        <w:jc w:val="center"/>
      </w:pPr>
      <w:r>
        <w:t xml:space="preserve">Объем межбюджетных трансфертов  Прилепенского сельского поселения, получаемых из других уровней бюджетной системы Российской Федерации </w:t>
      </w:r>
      <w:r/>
    </w:p>
    <w:p>
      <w:pPr>
        <w:pStyle w:val="824"/>
        <w:jc w:val="center"/>
      </w:pPr>
      <w:r>
        <w:t xml:space="preserve">за 1 </w:t>
      </w:r>
      <w:r>
        <w:t xml:space="preserve">квартал</w:t>
      </w:r>
      <w:r>
        <w:t xml:space="preserve"> 20</w:t>
      </w:r>
      <w:r>
        <w:t xml:space="preserve">2</w:t>
      </w:r>
      <w:r>
        <w:t xml:space="preserve">5 года</w:t>
      </w:r>
      <w:r>
        <w:t xml:space="preserve">    </w:t>
      </w:r>
      <w:r/>
    </w:p>
    <w:p>
      <w:pPr>
        <w:pStyle w:val="824"/>
        <w:jc w:val="center"/>
      </w:pPr>
      <w:r>
        <w:t xml:space="preserve">                                                                                                                  </w:t>
      </w:r>
      <w:r>
        <w:rPr>
          <w:b w:val="0"/>
        </w:rPr>
        <w:t xml:space="preserve">   </w:t>
      </w:r>
      <w:r>
        <w:rPr>
          <w:b w:val="0"/>
          <w:sz w:val="20"/>
          <w:szCs w:val="20"/>
        </w:rPr>
        <w:t xml:space="preserve">/ тыс. рублей/</w:t>
      </w:r>
      <w:r>
        <w:rPr>
          <w:b w:val="0"/>
          <w:sz w:val="20"/>
          <w:szCs w:val="20"/>
        </w:rPr>
      </w:r>
      <w:r/>
    </w:p>
    <w:tbl>
      <w:tblPr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3113"/>
        <w:gridCol w:w="4922"/>
        <w:gridCol w:w="1711"/>
      </w:tblGrid>
      <w:tr>
        <w:trPr/>
        <w:tc>
          <w:tcPr>
            <w:tcW w:w="3113" w:type="dxa"/>
            <w:vAlign w:val="top"/>
            <w:textDirection w:val="lrTb"/>
            <w:noWrap w:val="false"/>
          </w:tcPr>
          <w:p>
            <w:pPr>
              <w:ind w:right="-108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Код бюджетной классификации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</w:tc>
        <w:tc>
          <w:tcPr>
            <w:tcW w:w="4922" w:type="dxa"/>
            <w:vAlign w:val="top"/>
            <w:textDirection w:val="lrTb"/>
            <w:noWrap w:val="false"/>
          </w:tcPr>
          <w:p>
            <w:pPr>
              <w:ind w:right="-108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Наименование показателей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</w:tc>
        <w:tc>
          <w:tcPr>
            <w:tcW w:w="1711" w:type="dxa"/>
            <w:vAlign w:val="top"/>
            <w:textDirection w:val="lrTb"/>
            <w:noWrap w:val="false"/>
          </w:tcPr>
          <w:p>
            <w:pPr>
              <w:ind w:right="-108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Сумма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</w:r>
            <w:r/>
          </w:p>
        </w:tc>
      </w:tr>
      <w:tr>
        <w:trPr/>
        <w:tc>
          <w:tcPr>
            <w:tcW w:w="3113" w:type="dxa"/>
            <w:vAlign w:val="top"/>
            <w:textDirection w:val="lrTb"/>
            <w:noWrap w:val="false"/>
          </w:tcPr>
          <w:p>
            <w:pPr>
              <w:ind w:right="-108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000 2 00 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0000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0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  00 0000 000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  <w:tc>
          <w:tcPr>
            <w:tcW w:w="4922" w:type="dxa"/>
            <w:vAlign w:val="top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БЕЗВОЗМЕЗДНЫЕ ПОСТУПЛЕНИЯ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  <w:tc>
          <w:tcPr>
            <w:tcW w:w="1711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1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993,4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</w:tr>
      <w:tr>
        <w:trPr/>
        <w:tc>
          <w:tcPr>
            <w:tcW w:w="3113" w:type="dxa"/>
            <w:vAlign w:val="top"/>
            <w:textDirection w:val="lrTb"/>
            <w:noWrap w:val="false"/>
          </w:tcPr>
          <w:p>
            <w:pPr>
              <w:ind w:right="-108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914 2 02 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16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00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0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  00 0000 15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0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  <w:tc>
          <w:tcPr>
            <w:tcW w:w="4922" w:type="dxa"/>
            <w:vAlign w:val="top"/>
            <w:textDirection w:val="lrTb"/>
            <w:noWrap w:val="false"/>
          </w:tcPr>
          <w:p>
            <w:pPr>
              <w:ind w:right="-108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Дотации бюджетам субъектов РФ и муниципальных образований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  <w:tc>
          <w:tcPr>
            <w:tcW w:w="1711" w:type="dxa"/>
            <w:vAlign w:val="center"/>
            <w:textDirection w:val="lrTb"/>
            <w:noWrap w:val="false"/>
          </w:tcPr>
          <w:p>
            <w:pPr>
              <w:ind w:right="-108"/>
              <w:jc w:val="center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1970,0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</w:tr>
      <w:tr>
        <w:trPr/>
        <w:tc>
          <w:tcPr>
            <w:tcW w:w="3113" w:type="dxa"/>
            <w:vAlign w:val="top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9</w:t>
            </w:r>
            <w:r>
              <w:rPr>
                <w:rFonts w:ascii="Times New Roman" w:hAnsi="Times New Roman"/>
                <w:sz w:val="24"/>
              </w:rPr>
              <w:t xml:space="preserve">1</w:t>
            </w:r>
            <w:r>
              <w:rPr>
                <w:rFonts w:ascii="Times New Roman" w:hAnsi="Times New Roman"/>
                <w:sz w:val="24"/>
              </w:rPr>
              <w:t xml:space="preserve">4</w:t>
            </w:r>
            <w:r>
              <w:rPr>
                <w:rFonts w:ascii="Times New Roman" w:hAnsi="Times New Roman"/>
                <w:sz w:val="24"/>
              </w:rPr>
              <w:t xml:space="preserve"> 2 02 </w:t>
            </w:r>
            <w:r>
              <w:rPr>
                <w:rFonts w:ascii="Times New Roman" w:hAnsi="Times New Roman"/>
                <w:sz w:val="24"/>
              </w:rPr>
              <w:t xml:space="preserve">16001</w:t>
            </w:r>
            <w:r>
              <w:rPr>
                <w:rFonts w:ascii="Times New Roman" w:hAnsi="Times New Roman"/>
                <w:sz w:val="24"/>
              </w:rPr>
              <w:t xml:space="preserve"> 10 0000 15</w:t>
            </w:r>
            <w:r>
              <w:rPr>
                <w:rFonts w:ascii="Times New Roman" w:hAnsi="Times New Roman"/>
                <w:sz w:val="24"/>
              </w:rPr>
              <w:t xml:space="preserve">0</w:t>
            </w:r>
            <w:r>
              <w:rPr>
                <w:rFonts w:ascii="Times New Roman" w:hAnsi="Times New Roman"/>
                <w:sz w:val="24"/>
              </w:rPr>
            </w:r>
            <w:r/>
          </w:p>
        </w:tc>
        <w:tc>
          <w:tcPr>
            <w:tcW w:w="4922" w:type="dxa"/>
            <w:vAlign w:val="top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Дотации бюджетам сельских поселений на выравнивание уровня бюджетной обеспеченности</w:t>
            </w:r>
            <w:r>
              <w:rPr>
                <w:rFonts w:ascii="Times New Roman" w:hAnsi="Times New Roman"/>
                <w:sz w:val="24"/>
              </w:rPr>
            </w:r>
            <w:r/>
          </w:p>
        </w:tc>
        <w:tc>
          <w:tcPr>
            <w:tcW w:w="171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1970,0</w:t>
            </w:r>
            <w:r>
              <w:rPr>
                <w:rFonts w:ascii="Times New Roman" w:hAnsi="Times New Roman"/>
                <w:sz w:val="24"/>
              </w:rPr>
            </w:r>
            <w:r/>
          </w:p>
        </w:tc>
      </w:tr>
      <w:tr>
        <w:trPr/>
        <w:tc>
          <w:tcPr>
            <w:tcW w:w="3113" w:type="dxa"/>
            <w:vAlign w:val="top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914 2 02 35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000 00 0000 15</w:t>
            </w:r>
            <w:r>
              <w:rPr>
                <w:rFonts w:ascii="Times New Roman" w:hAnsi="Times New Roman"/>
                <w:b/>
                <w:bCs/>
                <w:sz w:val="24"/>
              </w:rPr>
              <w:t xml:space="preserve">0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  <w:tc>
          <w:tcPr>
            <w:tcW w:w="4922" w:type="dxa"/>
            <w:vAlign w:val="top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Субвенции  бюджетам субъектов РФ и муниципальных образований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  <w:tc>
          <w:tcPr>
            <w:tcW w:w="171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 xml:space="preserve">23,4</w:t>
            </w:r>
            <w:r>
              <w:rPr>
                <w:rFonts w:ascii="Times New Roman" w:hAnsi="Times New Roman"/>
                <w:b/>
                <w:bCs/>
                <w:sz w:val="24"/>
              </w:rPr>
            </w:r>
            <w:r/>
          </w:p>
        </w:tc>
      </w:tr>
      <w:tr>
        <w:trPr/>
        <w:tc>
          <w:tcPr>
            <w:tcW w:w="3113" w:type="dxa"/>
            <w:vAlign w:val="top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914 2 02 35118</w:t>
            </w:r>
            <w:r>
              <w:rPr>
                <w:rFonts w:ascii="Times New Roman" w:hAnsi="Times New Roman"/>
                <w:sz w:val="24"/>
              </w:rPr>
              <w:t xml:space="preserve"> 10 0000 15</w:t>
            </w:r>
            <w:r>
              <w:rPr>
                <w:rFonts w:ascii="Times New Roman" w:hAnsi="Times New Roman"/>
                <w:sz w:val="24"/>
              </w:rPr>
              <w:t xml:space="preserve">0</w:t>
            </w:r>
            <w:r>
              <w:rPr>
                <w:rFonts w:ascii="Times New Roman" w:hAnsi="Times New Roman"/>
                <w:sz w:val="24"/>
              </w:rPr>
            </w:r>
            <w:r/>
          </w:p>
        </w:tc>
        <w:tc>
          <w:tcPr>
            <w:tcW w:w="4922" w:type="dxa"/>
            <w:vAlign w:val="top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Субвенции бюджетам  сельских поселений на осуществление первичного воинского учета на территориях, где отсутствуют военные комиссариаты</w:t>
            </w:r>
            <w:r>
              <w:rPr>
                <w:rFonts w:ascii="Times New Roman" w:hAnsi="Times New Roman"/>
                <w:sz w:val="24"/>
              </w:rPr>
            </w:r>
            <w:r/>
          </w:p>
        </w:tc>
        <w:tc>
          <w:tcPr>
            <w:tcW w:w="171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 xml:space="preserve">23,4</w:t>
            </w:r>
            <w:r>
              <w:rPr>
                <w:rFonts w:ascii="Times New Roman" w:hAnsi="Times New Roman"/>
                <w:sz w:val="24"/>
              </w:rPr>
            </w:r>
            <w:r/>
          </w:p>
        </w:tc>
      </w:tr>
    </w:tbl>
    <w:p>
      <w:pPr>
        <w:pStyle w:val="822"/>
        <w:jc w:val="right"/>
      </w:pPr>
      <w:r>
        <w:rPr>
          <w:b/>
          <w:bCs/>
        </w:rPr>
        <w:t xml:space="preserve">                                                </w:t>
      </w:r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pPr>
        <w:pStyle w:val="822"/>
      </w:pPr>
      <w:r/>
      <w:r/>
    </w:p>
    <w:p>
      <w:r/>
      <w:r/>
    </w:p>
    <w:p>
      <w:pPr>
        <w:pStyle w:val="822"/>
        <w:ind w:left="0" w:right="0" w:firstLine="0"/>
      </w:pPr>
      <w:r/>
      <w:r/>
    </w:p>
    <w:tbl>
      <w:tblPr>
        <w:tblW w:w="9580" w:type="dxa"/>
        <w:tblInd w:w="93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2616"/>
        <w:gridCol w:w="187"/>
        <w:gridCol w:w="4298"/>
        <w:gridCol w:w="2479"/>
      </w:tblGrid>
      <w:tr>
        <w:trPr>
          <w:trHeight w:val="255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803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298" w:type="dxa"/>
            <w:vAlign w:val="bottom"/>
            <w:textDirection w:val="lrTb"/>
            <w:noWrap/>
          </w:tcPr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479" w:type="dxa"/>
            <w:vAlign w:val="bottom"/>
            <w:textDirection w:val="lrTb"/>
            <w:noWrap/>
          </w:tcPr>
          <w:p>
            <w:pPr>
              <w:pStyle w:val="822"/>
              <w:ind w:firstLine="708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33"/>
              <w:jc w:val="lef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      Приложение №</w:t>
            </w:r>
            <w:r>
              <w:rPr>
                <w:rFonts w:ascii="Times New Roman" w:hAnsi="Times New Roman"/>
                <w:b/>
                <w:sz w:val="24"/>
              </w:rPr>
              <w:t xml:space="preserve">6</w:t>
            </w:r>
            <w:r>
              <w:rPr>
                <w:sz w:val="24"/>
              </w:rPr>
            </w:r>
            <w:r/>
          </w:p>
        </w:tc>
      </w:tr>
      <w:tr>
        <w:trPr>
          <w:trHeight w:val="255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803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777" w:type="dxa"/>
            <w:vAlign w:val="top"/>
            <w:textDirection w:val="lrTb"/>
            <w:noWrap/>
          </w:tcPr>
          <w:p>
            <w:pPr>
              <w:pStyle w:val="822"/>
              <w:ind w:firstLine="33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 постановлению администрации 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33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Прилепенского</w:t>
            </w:r>
            <w:r>
              <w:rPr>
                <w:rFonts w:ascii="Times New Roman" w:hAnsi="Times New Roman"/>
                <w:sz w:val="24"/>
              </w:rPr>
              <w:t xml:space="preserve"> сельского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33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поселения </w:t>
            </w:r>
            <w:r>
              <w:rPr>
                <w:rFonts w:ascii="Times New Roman" w:hAnsi="Times New Roman"/>
                <w:sz w:val="24"/>
              </w:rPr>
              <w:t xml:space="preserve">муниципального района 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33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«Чернянский район» Белгородской области </w:t>
            </w:r>
            <w:r>
              <w:rPr>
                <w:sz w:val="24"/>
              </w:rPr>
            </w:r>
            <w:r/>
          </w:p>
          <w:p>
            <w:pPr>
              <w:pStyle w:val="822"/>
              <w:ind w:firstLine="33"/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 </w:t>
            </w:r>
            <w:r>
              <w:rPr>
                <w:rFonts w:ascii="Times New Roman" w:hAnsi="Times New Roman"/>
                <w:sz w:val="24"/>
              </w:rPr>
              <w:t xml:space="preserve">28.04.202</w:t>
            </w:r>
            <w:r>
              <w:rPr>
                <w:rFonts w:ascii="Times New Roman" w:hAnsi="Times New Roman"/>
                <w:sz w:val="24"/>
              </w:rPr>
              <w:t xml:space="preserve">5  г. № 30/1</w:t>
            </w:r>
            <w:r>
              <w:rPr>
                <w:sz w:val="24"/>
              </w:rPr>
            </w:r>
            <w:r/>
          </w:p>
        </w:tc>
      </w:tr>
      <w:tr>
        <w:trPr>
          <w:trHeight w:val="36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616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485" w:type="dxa"/>
            <w:vAlign w:val="bottom"/>
            <w:textDirection w:val="lrTb"/>
            <w:noWrap/>
          </w:tcPr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479" w:type="dxa"/>
            <w:vAlign w:val="bottom"/>
            <w:textDirection w:val="lrTb"/>
            <w:noWrap/>
          </w:tcPr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</w:tr>
      <w:tr>
        <w:trPr>
          <w:trHeight w:val="255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580" w:type="dxa"/>
            <w:vAlign w:val="bottom"/>
            <w:textDirection w:val="lrTb"/>
            <w:noWrap/>
          </w:tcPr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Источники финансирования дефицита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(профицита)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 бюджета</w:t>
            </w:r>
            <w:r>
              <w:rPr>
                <w:sz w:val="28"/>
              </w:rPr>
            </w:r>
            <w:r/>
          </w:p>
        </w:tc>
      </w:tr>
      <w:tr>
        <w:trPr>
          <w:trHeight w:val="255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580" w:type="dxa"/>
            <w:vAlign w:val="bottom"/>
            <w:textDirection w:val="lrTb"/>
            <w:noWrap/>
          </w:tcPr>
          <w:p>
            <w:pPr>
              <w:pStyle w:val="822"/>
              <w:jc w:val="center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Прилепенского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 сельского поселения за 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1 квартал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 20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2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5 г</w:t>
            </w:r>
            <w:r>
              <w:rPr>
                <w:rFonts w:ascii="Times New Roman" w:hAnsi="Times New Roman"/>
                <w:b/>
                <w:bCs/>
                <w:sz w:val="28"/>
                <w:szCs w:val="24"/>
              </w:rPr>
              <w:t xml:space="preserve">.</w:t>
            </w:r>
            <w:r>
              <w:rPr>
                <w:sz w:val="28"/>
              </w:rPr>
            </w:r>
            <w:r/>
          </w:p>
        </w:tc>
      </w:tr>
      <w:tr>
        <w:trPr>
          <w:cantSplit/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616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485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right w:val="none" w:color="000000" w:sz="4" w:space="0"/>
            </w:tcBorders>
            <w:tcW w:w="2479" w:type="dxa"/>
            <w:vAlign w:val="bottom"/>
            <w:vMerge w:val="restart"/>
            <w:textDirection w:val="lrTb"/>
            <w:noWrap/>
          </w:tcPr>
          <w:p>
            <w:pPr>
              <w:pStyle w:val="822"/>
              <w:jc w:val="right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/тыс.рублей/</w:t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</w:tr>
      <w:tr>
        <w:trPr>
          <w:cantSplit/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616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Arial CYR" w:hAnsi="Arial CYR"/>
              </w:rPr>
            </w:pPr>
            <w:r>
              <w:rPr>
                <w:rFonts w:ascii="Arial CYR" w:hAnsi="Arial CYR"/>
                <w:sz w:val="20"/>
                <w:szCs w:val="20"/>
              </w:rPr>
            </w:r>
            <w:r>
              <w:rPr>
                <w:rFonts w:ascii="Arial CYR" w:hAnsi="Arial CYR"/>
                <w:sz w:val="20"/>
                <w:szCs w:val="20"/>
              </w:rPr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485" w:type="dxa"/>
            <w:vAlign w:val="bottom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  <w:tc>
          <w:tcPr>
            <w:tcBorders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479" w:type="dxa"/>
            <w:vAlign w:val="bottom"/>
            <w:vMerge w:val="continue"/>
            <w:textDirection w:val="lrTb"/>
            <w:noWrap/>
          </w:tcPr>
          <w:p>
            <w:pPr>
              <w:pStyle w:val="822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/>
          </w:p>
        </w:tc>
      </w:tr>
      <w:tr>
        <w:trPr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16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rFonts w:ascii="Times New Roman" w:hAnsi="Times New Roman"/>
                <w:bCs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4"/>
              </w:rPr>
              <w:t xml:space="preserve">Наименование</w:t>
            </w:r>
            <w:r>
              <w:rPr>
                <w:rFonts w:ascii="Times New Roman" w:hAnsi="Times New Roman"/>
                <w:b/>
                <w:sz w:val="28"/>
                <w:szCs w:val="24"/>
              </w:rPr>
            </w:r>
            <w:r/>
          </w:p>
        </w:tc>
        <w:tc>
          <w:tcPr>
            <w:gridSpan w:val="2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485" w:type="dxa"/>
            <w:vAlign w:val="bottom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4"/>
              </w:rPr>
              <w:t xml:space="preserve">Код бюджетной классификации</w:t>
            </w:r>
            <w:r>
              <w:rPr>
                <w:rFonts w:ascii="Times New Roman" w:hAnsi="Times New Roman"/>
                <w:b/>
                <w:sz w:val="28"/>
                <w:szCs w:val="24"/>
              </w:rPr>
            </w:r>
            <w:r/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79" w:type="dxa"/>
            <w:vAlign w:val="bottom"/>
            <w:textDirection w:val="lrTb"/>
            <w:noWrap/>
          </w:tcPr>
          <w:p>
            <w:pPr>
              <w:pStyle w:val="663"/>
              <w:jc w:val="center"/>
              <w:rPr>
                <w:rFonts w:ascii="Times New Roman" w:hAnsi="Times New Roman"/>
                <w:bCs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4"/>
              </w:rPr>
              <w:t xml:space="preserve">Сумма</w:t>
            </w:r>
            <w:r>
              <w:rPr>
                <w:rFonts w:ascii="Times New Roman" w:hAnsi="Times New Roman"/>
                <w:b/>
                <w:sz w:val="28"/>
                <w:szCs w:val="24"/>
              </w:rPr>
            </w:r>
            <w:r/>
          </w:p>
        </w:tc>
      </w:tr>
      <w:tr>
        <w:trPr>
          <w:trHeight w:val="8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16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b/>
                <w:bCs/>
                <w:sz w:val="24"/>
                <w:szCs w:val="24"/>
                <w14:ligatures w14:val="none"/>
              </w:rPr>
            </w:pPr>
            <w:r>
              <w:rPr>
                <w:b/>
                <w:bCs/>
                <w:sz w:val="24"/>
                <w:szCs w:val="24"/>
              </w:rPr>
              <w:t xml:space="preserve">Всего источников финансирования дефицита (</w:t>
            </w:r>
            <w:r>
              <w:rPr>
                <w:b/>
                <w:bCs/>
                <w:sz w:val="24"/>
                <w:szCs w:val="24"/>
              </w:rPr>
              <w:t xml:space="preserve">профицита</w:t>
            </w:r>
            <w:r>
              <w:rPr>
                <w:b/>
                <w:bCs/>
                <w:sz w:val="24"/>
                <w:szCs w:val="24"/>
              </w:rPr>
              <w:t xml:space="preserve">) бюджета</w:t>
            </w:r>
            <w:r>
              <w:rPr>
                <w:b/>
                <w:bCs/>
                <w:sz w:val="24"/>
                <w:szCs w:val="24"/>
              </w:rPr>
            </w: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48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000 900 00 </w:t>
            </w:r>
            <w:r>
              <w:rPr>
                <w:sz w:val="24"/>
                <w:szCs w:val="24"/>
              </w:rPr>
              <w:t xml:space="preserve">00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00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00</w:t>
            </w:r>
            <w:r>
              <w:rPr>
                <w:sz w:val="24"/>
                <w:szCs w:val="24"/>
              </w:rPr>
              <w:t xml:space="preserve"> 000000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79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-2282,4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>
          <w:trHeight w:val="51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16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Изменение остатков </w:t>
            </w:r>
            <w:r>
              <w:rPr>
                <w:sz w:val="24"/>
                <w:szCs w:val="24"/>
              </w:rPr>
              <w:t xml:space="preserve"> средств на счетах </w:t>
            </w:r>
            <w:r>
              <w:rPr>
                <w:sz w:val="24"/>
                <w:szCs w:val="24"/>
              </w:rPr>
              <w:t xml:space="preserve">по </w:t>
            </w:r>
            <w:r>
              <w:rPr>
                <w:sz w:val="24"/>
                <w:szCs w:val="24"/>
              </w:rPr>
              <w:t xml:space="preserve">учету средств бюджета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48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000 01 05 00 </w:t>
            </w:r>
            <w:r>
              <w:rPr>
                <w:sz w:val="24"/>
                <w:szCs w:val="24"/>
              </w:rPr>
              <w:t xml:space="preserve">00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00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00</w:t>
            </w:r>
            <w:r>
              <w:rPr>
                <w:sz w:val="24"/>
                <w:szCs w:val="24"/>
              </w:rPr>
              <w:t xml:space="preserve"> 00000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79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-2282,4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>
          <w:trHeight w:val="86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16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из них: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48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79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0,0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>
          <w:trHeight w:val="34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16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Увеличение </w:t>
            </w:r>
            <w:r>
              <w:rPr>
                <w:sz w:val="24"/>
                <w:szCs w:val="24"/>
              </w:rPr>
              <w:t xml:space="preserve"> прочих </w:t>
            </w:r>
            <w:r>
              <w:rPr>
                <w:sz w:val="24"/>
                <w:szCs w:val="24"/>
              </w:rPr>
              <w:t xml:space="preserve">остатков</w:t>
            </w:r>
            <w:r>
              <w:rPr>
                <w:sz w:val="24"/>
                <w:szCs w:val="24"/>
              </w:rPr>
              <w:t xml:space="preserve"> денежных средств бюджета сельского поселения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485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914</w:t>
            </w:r>
            <w:r>
              <w:rPr>
                <w:sz w:val="24"/>
                <w:szCs w:val="24"/>
              </w:rPr>
              <w:t xml:space="preserve"> 01 05 0</w:t>
            </w: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  <w:t xml:space="preserve"> 0</w:t>
            </w: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  <w:t xml:space="preserve">0 0000 5</w:t>
            </w: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79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-4975,1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rPr>
          <w:trHeight w:val="48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16" w:type="dxa"/>
            <w:vAlign w:val="center"/>
            <w:textDirection w:val="lrTb"/>
            <w:noWrap w:val="false"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Уменьшение </w:t>
            </w:r>
            <w:r>
              <w:rPr>
                <w:sz w:val="24"/>
                <w:szCs w:val="24"/>
              </w:rPr>
              <w:t xml:space="preserve">прочих </w:t>
            </w:r>
            <w:r>
              <w:rPr>
                <w:sz w:val="24"/>
                <w:szCs w:val="24"/>
              </w:rPr>
              <w:t xml:space="preserve">остатков</w:t>
            </w:r>
            <w:r>
              <w:rPr>
                <w:sz w:val="24"/>
                <w:szCs w:val="24"/>
              </w:rPr>
              <w:t xml:space="preserve"> денежных средств бюджета сельского поселения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4485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914</w:t>
            </w:r>
            <w:r>
              <w:rPr>
                <w:sz w:val="24"/>
                <w:szCs w:val="24"/>
              </w:rPr>
              <w:t xml:space="preserve"> 01 05 0</w:t>
            </w: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  <w:t xml:space="preserve"> 0</w:t>
            </w: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10 0000 61</w:t>
            </w:r>
            <w:r>
              <w:rPr>
                <w:sz w:val="24"/>
                <w:szCs w:val="24"/>
              </w:rPr>
              <w:t xml:space="preserve">0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2479" w:type="dxa"/>
            <w:vAlign w:val="center"/>
            <w:textDirection w:val="lrTb"/>
            <w:noWrap/>
          </w:tcPr>
          <w:p>
            <w:pPr>
              <w:pStyle w:val="663"/>
              <w:jc w:val="center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2692,7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822"/>
      </w:pPr>
      <w:r/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/>
    </w:p>
    <w:p>
      <w:pPr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/>
    </w:p>
    <w:p>
      <w:pPr>
        <w:ind w:firstLine="708"/>
        <w:jc w:val="center"/>
        <w:spacing w:after="0" w:line="240" w:lineRule="auto"/>
      </w:pPr>
      <w:r>
        <w:rPr>
          <w:rFonts w:ascii="Times New Roman" w:hAnsi="Times New Roman"/>
          <w:b/>
          <w:sz w:val="28"/>
          <w:szCs w:val="28"/>
        </w:rPr>
        <w:t xml:space="preserve">ПОЯСНИТЕЛЬНАЯ ЗАПИСКА</w:t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/>
          <w:b/>
          <w:sz w:val="28"/>
          <w:szCs w:val="28"/>
        </w:rPr>
        <w:t xml:space="preserve">к отчету об исполнении бюджета </w:t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/>
          <w:b/>
          <w:sz w:val="28"/>
          <w:szCs w:val="28"/>
        </w:rPr>
        <w:t xml:space="preserve">«Прилепенского сельского поселения»</w:t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/>
          <w:b/>
          <w:sz w:val="28"/>
          <w:szCs w:val="28"/>
        </w:rPr>
        <w:t xml:space="preserve">за 1 квартал 2025 г. </w:t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spacing w:after="0" w:line="240" w:lineRule="auto"/>
        <w:rPr>
          <w:b/>
          <w:bCs/>
          <w:sz w:val="28"/>
          <w:szCs w:val="28"/>
          <w:highlight w:val="none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 xml:space="preserve">Доходы</w:t>
      </w:r>
      <w:r>
        <w:rPr>
          <w:b/>
          <w:sz w:val="28"/>
          <w:szCs w:val="28"/>
          <w:u w:val="single"/>
        </w:rPr>
      </w:r>
      <w:r/>
    </w:p>
    <w:p>
      <w:pPr>
        <w:spacing w:after="0" w:line="240" w:lineRule="auto"/>
        <w:rPr>
          <w:b/>
          <w:bCs/>
          <w:sz w:val="28"/>
          <w:szCs w:val="28"/>
          <w:u w:val="single"/>
        </w:rPr>
      </w:pPr>
      <w:r>
        <w:rPr>
          <w:b/>
          <w:sz w:val="28"/>
          <w:szCs w:val="28"/>
          <w:highlight w:val="none"/>
          <w:u w:val="single"/>
        </w:rPr>
      </w:r>
      <w:r>
        <w:rPr>
          <w:b/>
          <w:sz w:val="28"/>
          <w:szCs w:val="28"/>
          <w:highlight w:val="none"/>
          <w:u w:val="single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Доходы бюджета Прилепенского сельского поселения за 1 квартал 202</w:t>
      </w:r>
      <w:r>
        <w:rPr>
          <w:rFonts w:ascii="Times New Roman" w:hAnsi="Times New Roman"/>
          <w:sz w:val="28"/>
          <w:szCs w:val="28"/>
        </w:rPr>
        <w:t xml:space="preserve">5</w:t>
      </w:r>
      <w:r>
        <w:rPr>
          <w:rFonts w:ascii="Times New Roman" w:hAnsi="Times New Roman"/>
          <w:sz w:val="28"/>
          <w:szCs w:val="28"/>
        </w:rPr>
        <w:t xml:space="preserve"> год  исполнены в сумме </w:t>
      </w:r>
      <w:r>
        <w:rPr>
          <w:rFonts w:ascii="Times New Roman" w:hAnsi="Times New Roman"/>
          <w:sz w:val="28"/>
          <w:szCs w:val="28"/>
        </w:rPr>
        <w:t xml:space="preserve">4975,1 </w:t>
      </w:r>
      <w:r>
        <w:rPr>
          <w:rFonts w:ascii="Times New Roman" w:hAnsi="Times New Roman"/>
          <w:sz w:val="28"/>
          <w:szCs w:val="28"/>
        </w:rPr>
        <w:t xml:space="preserve">тыс. рублей. 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Поступление доходов в бюджет поселения сложились из следующих источников: собственные налоговые и неналоговые доходы – </w:t>
      </w:r>
      <w:r>
        <w:rPr>
          <w:rFonts w:ascii="Times New Roman" w:hAnsi="Times New Roman"/>
          <w:sz w:val="28"/>
          <w:szCs w:val="28"/>
        </w:rPr>
        <w:t xml:space="preserve">2981,7</w:t>
      </w:r>
      <w:r>
        <w:rPr>
          <w:rFonts w:ascii="Times New Roman" w:hAnsi="Times New Roman"/>
          <w:sz w:val="28"/>
          <w:szCs w:val="28"/>
        </w:rPr>
        <w:t xml:space="preserve"> тыс. рублей и </w:t>
      </w:r>
      <w:r>
        <w:rPr>
          <w:rFonts w:ascii="Times New Roman" w:hAnsi="Times New Roman"/>
          <w:sz w:val="28"/>
          <w:szCs w:val="28"/>
        </w:rPr>
        <w:t xml:space="preserve">безвозмездные перечисления из бюджетов других уровней –</w:t>
      </w:r>
      <w:r>
        <w:rPr>
          <w:rFonts w:ascii="Times New Roman" w:hAnsi="Times New Roman"/>
          <w:sz w:val="28"/>
          <w:szCs w:val="28"/>
        </w:rPr>
        <w:t xml:space="preserve">1993,4</w:t>
      </w:r>
      <w:r>
        <w:rPr>
          <w:rFonts w:ascii="Times New Roman" w:hAnsi="Times New Roman"/>
          <w:sz w:val="28"/>
          <w:szCs w:val="28"/>
        </w:rPr>
        <w:t xml:space="preserve">  тыс. рублей, в том числе дотации на выравнивание уровня бюджетной обеспеченности  составила </w:t>
      </w:r>
      <w:r>
        <w:rPr>
          <w:rFonts w:ascii="Times New Roman" w:hAnsi="Times New Roman"/>
          <w:sz w:val="28"/>
          <w:szCs w:val="28"/>
        </w:rPr>
        <w:t xml:space="preserve">1970,0</w:t>
      </w:r>
      <w:r>
        <w:rPr>
          <w:rFonts w:ascii="Times New Roman" w:hAnsi="Times New Roman"/>
          <w:sz w:val="28"/>
          <w:szCs w:val="28"/>
        </w:rPr>
        <w:t xml:space="preserve"> тыс. рублей.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Собственные налоговые и неналоговые доходы бюджета поселения исполнены на  сумме – </w:t>
      </w:r>
      <w:r>
        <w:rPr>
          <w:rFonts w:ascii="Times New Roman" w:hAnsi="Times New Roman"/>
          <w:sz w:val="28"/>
          <w:szCs w:val="28"/>
        </w:rPr>
        <w:t xml:space="preserve">2981,7</w:t>
      </w:r>
      <w:r>
        <w:rPr>
          <w:rFonts w:ascii="Times New Roman" w:hAnsi="Times New Roman"/>
          <w:sz w:val="28"/>
          <w:szCs w:val="28"/>
        </w:rPr>
        <w:t xml:space="preserve"> тыс. рублей.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Основным</w:t>
      </w:r>
      <w:r>
        <w:rPr>
          <w:rFonts w:ascii="Times New Roman" w:hAnsi="Times New Roman"/>
          <w:sz w:val="28"/>
          <w:szCs w:val="28"/>
        </w:rPr>
        <w:t xml:space="preserve">и источниками</w:t>
      </w:r>
      <w:r>
        <w:rPr>
          <w:rFonts w:ascii="Times New Roman" w:hAnsi="Times New Roman"/>
          <w:sz w:val="28"/>
          <w:szCs w:val="28"/>
        </w:rPr>
        <w:t xml:space="preserve"> пополнения местного бюдже</w:t>
      </w:r>
      <w:r>
        <w:rPr>
          <w:rFonts w:ascii="Times New Roman" w:hAnsi="Times New Roman"/>
          <w:sz w:val="28"/>
          <w:szCs w:val="28"/>
        </w:rPr>
        <w:t xml:space="preserve">та за 1 квартал 2025 году  являю</w:t>
      </w:r>
      <w:r>
        <w:rPr>
          <w:rFonts w:ascii="Times New Roman" w:hAnsi="Times New Roman"/>
          <w:sz w:val="28"/>
          <w:szCs w:val="28"/>
        </w:rPr>
        <w:t xml:space="preserve">тся</w:t>
      </w:r>
      <w:r>
        <w:rPr>
          <w:rFonts w:ascii="Times New Roman" w:hAnsi="Times New Roman"/>
          <w:sz w:val="28"/>
          <w:szCs w:val="28"/>
        </w:rPr>
        <w:t xml:space="preserve">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- единый сельскохозяйственный налог</w:t>
      </w:r>
      <w:r>
        <w:rPr>
          <w:rFonts w:ascii="Times New Roman" w:hAnsi="Times New Roman"/>
          <w:sz w:val="28"/>
          <w:szCs w:val="28"/>
        </w:rPr>
        <w:t xml:space="preserve"> в сумме </w:t>
      </w:r>
      <w:r>
        <w:rPr>
          <w:rFonts w:ascii="Times New Roman" w:hAnsi="Times New Roman"/>
          <w:sz w:val="28"/>
          <w:szCs w:val="28"/>
        </w:rPr>
        <w:t xml:space="preserve">-2401,3 </w:t>
      </w:r>
      <w:r>
        <w:rPr>
          <w:rFonts w:ascii="Times New Roman" w:hAnsi="Times New Roman"/>
          <w:sz w:val="28"/>
          <w:szCs w:val="28"/>
        </w:rPr>
        <w:t xml:space="preserve">тыс. рублей;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-земельный налог в сумме - 481,7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рублей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  <w:r/>
    </w:p>
    <w:p>
      <w:pPr>
        <w:spacing w:after="0" w:line="240" w:lineRule="auto"/>
      </w:pPr>
      <w:r>
        <w:rPr>
          <w:rFonts w:ascii="Times New Roman" w:hAnsi="Times New Roman"/>
          <w:b/>
          <w:bCs/>
          <w:sz w:val="28"/>
          <w:szCs w:val="28"/>
          <w:u w:val="single"/>
        </w:rPr>
        <w:t xml:space="preserve">Расходы</w:t>
      </w:r>
      <w:r>
        <w:rPr>
          <w:rFonts w:ascii="Times New Roman" w:hAnsi="Times New Roman"/>
          <w:b/>
          <w:bCs/>
          <w:sz w:val="28"/>
          <w:szCs w:val="28"/>
          <w:u w:val="single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Объем расходов муниципального образования «</w:t>
      </w:r>
      <w:r>
        <w:rPr>
          <w:rFonts w:ascii="Times New Roman" w:hAnsi="Times New Roman"/>
          <w:sz w:val="28"/>
          <w:szCs w:val="28"/>
        </w:rPr>
        <w:t xml:space="preserve">Прилепенское</w:t>
      </w:r>
      <w:r>
        <w:rPr>
          <w:rFonts w:ascii="Times New Roman" w:hAnsi="Times New Roman"/>
          <w:sz w:val="28"/>
          <w:szCs w:val="28"/>
        </w:rPr>
        <w:t xml:space="preserve"> сельское поселение», направленный на обеспечение оплаты труда с начислениями всех категорий работников бюджетной сферы за 1 квартал 202</w:t>
      </w:r>
      <w:r>
        <w:rPr>
          <w:rFonts w:ascii="Times New Roman" w:hAnsi="Times New Roman"/>
          <w:sz w:val="28"/>
          <w:szCs w:val="28"/>
        </w:rPr>
        <w:t xml:space="preserve">5</w:t>
      </w:r>
      <w:r>
        <w:rPr>
          <w:rFonts w:ascii="Times New Roman" w:hAnsi="Times New Roman"/>
          <w:sz w:val="28"/>
          <w:szCs w:val="28"/>
        </w:rPr>
        <w:t xml:space="preserve"> года составил </w:t>
      </w:r>
      <w:r>
        <w:rPr>
          <w:rFonts w:ascii="Times New Roman" w:hAnsi="Times New Roman"/>
          <w:sz w:val="28"/>
          <w:szCs w:val="28"/>
        </w:rPr>
        <w:t xml:space="preserve">344,0</w:t>
      </w:r>
      <w:r>
        <w:rPr>
          <w:rFonts w:ascii="Times New Roman" w:hAnsi="Times New Roman"/>
          <w:sz w:val="28"/>
          <w:szCs w:val="28"/>
        </w:rPr>
        <w:t xml:space="preserve"> тыс</w:t>
      </w:r>
      <w:r>
        <w:rPr>
          <w:rFonts w:ascii="Times New Roman" w:hAnsi="Times New Roman"/>
          <w:sz w:val="28"/>
          <w:szCs w:val="28"/>
        </w:rPr>
        <w:t xml:space="preserve">.р</w:t>
      </w:r>
      <w:r>
        <w:rPr>
          <w:rFonts w:ascii="Times New Roman" w:hAnsi="Times New Roman"/>
          <w:sz w:val="28"/>
          <w:szCs w:val="28"/>
        </w:rPr>
        <w:t xml:space="preserve">ублей. 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В рамках иных </w:t>
      </w:r>
      <w:r>
        <w:rPr>
          <w:rFonts w:ascii="Times New Roman" w:hAnsi="Times New Roman"/>
          <w:sz w:val="28"/>
          <w:szCs w:val="28"/>
        </w:rPr>
        <w:t xml:space="preserve">непрпограммных</w:t>
      </w:r>
      <w:r>
        <w:rPr>
          <w:rFonts w:ascii="Times New Roman" w:hAnsi="Times New Roman"/>
          <w:sz w:val="28"/>
          <w:szCs w:val="28"/>
        </w:rPr>
        <w:t xml:space="preserve"> мероприятий "Обеспечение функций органов местного самоуправления по функционированию представительных органов </w:t>
      </w:r>
      <w:r>
        <w:rPr>
          <w:rFonts w:ascii="Times New Roman" w:hAnsi="Times New Roman"/>
          <w:sz w:val="28"/>
          <w:szCs w:val="28"/>
        </w:rPr>
        <w:t xml:space="preserve">Прилепенско</w:t>
      </w:r>
      <w:r>
        <w:rPr>
          <w:rFonts w:ascii="Times New Roman" w:hAnsi="Times New Roman"/>
          <w:sz w:val="28"/>
          <w:szCs w:val="28"/>
        </w:rPr>
        <w:t xml:space="preserve">го с/поселения за 1 квартал 2025 </w:t>
      </w:r>
      <w:r>
        <w:rPr>
          <w:rFonts w:ascii="Times New Roman" w:hAnsi="Times New Roman"/>
          <w:sz w:val="28"/>
          <w:szCs w:val="28"/>
        </w:rPr>
        <w:t xml:space="preserve">года расходы на денежное содержание и обеспечение деятельности работников органов управления  освоены в сумме </w:t>
      </w:r>
      <w:r>
        <w:rPr>
          <w:rFonts w:ascii="Times New Roman" w:hAnsi="Times New Roman"/>
          <w:b/>
          <w:sz w:val="28"/>
          <w:szCs w:val="28"/>
        </w:rPr>
        <w:t xml:space="preserve">530,1</w:t>
      </w:r>
      <w:r>
        <w:rPr>
          <w:rFonts w:ascii="Times New Roman" w:hAnsi="Times New Roman"/>
          <w:sz w:val="28"/>
          <w:szCs w:val="28"/>
        </w:rPr>
        <w:t xml:space="preserve"> тыс. руб., в т</w:t>
      </w:r>
      <w:r>
        <w:rPr>
          <w:rFonts w:ascii="Times New Roman" w:hAnsi="Times New Roman"/>
          <w:sz w:val="28"/>
          <w:szCs w:val="28"/>
        </w:rPr>
        <w:t xml:space="preserve">.ч. </w:t>
      </w:r>
      <w:r>
        <w:rPr>
          <w:rFonts w:ascii="Times New Roman" w:hAnsi="Times New Roman"/>
          <w:sz w:val="28"/>
          <w:szCs w:val="28"/>
        </w:rPr>
        <w:t xml:space="preserve">на оплату труда с начислениями </w:t>
      </w:r>
      <w:r>
        <w:rPr>
          <w:rFonts w:ascii="Times New Roman" w:hAnsi="Times New Roman"/>
          <w:sz w:val="28"/>
          <w:szCs w:val="28"/>
        </w:rPr>
        <w:t xml:space="preserve">102,9</w:t>
      </w:r>
      <w:r>
        <w:rPr>
          <w:rFonts w:ascii="Times New Roman" w:hAnsi="Times New Roman"/>
          <w:sz w:val="28"/>
          <w:szCs w:val="28"/>
        </w:rPr>
        <w:t xml:space="preserve"> тыс. руб. Расходы на обеспечение деятельности составили  </w:t>
      </w:r>
      <w:r>
        <w:rPr>
          <w:rFonts w:ascii="Times New Roman" w:hAnsi="Times New Roman"/>
          <w:sz w:val="28"/>
          <w:szCs w:val="28"/>
        </w:rPr>
        <w:t xml:space="preserve">207,8 </w:t>
      </w:r>
      <w:r>
        <w:rPr>
          <w:rFonts w:ascii="Times New Roman" w:hAnsi="Times New Roman"/>
          <w:sz w:val="28"/>
          <w:szCs w:val="28"/>
        </w:rPr>
        <w:t xml:space="preserve">тыс. рублей</w:t>
      </w:r>
      <w:r>
        <w:rPr>
          <w:rFonts w:ascii="Times New Roman" w:hAnsi="Times New Roman"/>
          <w:sz w:val="28"/>
          <w:szCs w:val="28"/>
        </w:rPr>
        <w:t xml:space="preserve"> и н</w:t>
      </w:r>
      <w:r>
        <w:rPr>
          <w:rFonts w:ascii="Times New Roman" w:hAnsi="Times New Roman"/>
          <w:sz w:val="28"/>
          <w:szCs w:val="28"/>
        </w:rPr>
        <w:t xml:space="preserve">а уплату</w:t>
      </w:r>
      <w:r>
        <w:rPr>
          <w:rFonts w:ascii="Times New Roman" w:hAnsi="Times New Roman"/>
          <w:sz w:val="28"/>
          <w:szCs w:val="28"/>
        </w:rPr>
        <w:t xml:space="preserve"> налогов расход</w:t>
      </w:r>
      <w:r>
        <w:rPr>
          <w:rFonts w:ascii="Times New Roman" w:hAnsi="Times New Roman"/>
          <w:sz w:val="28"/>
          <w:szCs w:val="28"/>
        </w:rPr>
        <w:t xml:space="preserve">ы</w:t>
      </w:r>
      <w:r>
        <w:rPr>
          <w:rFonts w:ascii="Times New Roman" w:hAnsi="Times New Roman"/>
          <w:sz w:val="28"/>
          <w:szCs w:val="28"/>
        </w:rPr>
        <w:t xml:space="preserve"> составили 1,</w:t>
      </w:r>
      <w:r>
        <w:rPr>
          <w:rFonts w:ascii="Times New Roman" w:hAnsi="Times New Roman"/>
          <w:sz w:val="28"/>
          <w:szCs w:val="28"/>
        </w:rPr>
        <w:t xml:space="preserve">7</w:t>
      </w:r>
      <w:r>
        <w:rPr>
          <w:rFonts w:ascii="Times New Roman" w:hAnsi="Times New Roman"/>
          <w:sz w:val="28"/>
          <w:szCs w:val="28"/>
        </w:rPr>
        <w:t xml:space="preserve"> тыс</w:t>
      </w:r>
      <w:r>
        <w:rPr>
          <w:rFonts w:ascii="Times New Roman" w:hAnsi="Times New Roman"/>
          <w:sz w:val="28"/>
          <w:szCs w:val="28"/>
        </w:rPr>
        <w:t xml:space="preserve">.р</w:t>
      </w:r>
      <w:r>
        <w:rPr>
          <w:rFonts w:ascii="Times New Roman" w:hAnsi="Times New Roman"/>
          <w:sz w:val="28"/>
          <w:szCs w:val="28"/>
        </w:rPr>
        <w:t xml:space="preserve">ублей.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Благоустройство в рамках комплекса процессных мероприятий «Реализация мероприятий по благоустройству территории </w:t>
      </w:r>
      <w:r>
        <w:rPr>
          <w:rFonts w:ascii="Times New Roman" w:hAnsi="Times New Roman"/>
          <w:sz w:val="28"/>
          <w:szCs w:val="28"/>
        </w:rPr>
        <w:t xml:space="preserve">Прилепенского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»</w:t>
      </w:r>
      <w:r>
        <w:rPr>
          <w:rFonts w:ascii="Times New Roman" w:hAnsi="Times New Roman"/>
          <w:sz w:val="28"/>
          <w:szCs w:val="28"/>
        </w:rPr>
        <w:t xml:space="preserve"> за 1 квартал 2025 года исполнены в сумме </w:t>
      </w:r>
      <w:r>
        <w:rPr>
          <w:rFonts w:ascii="Times New Roman" w:hAnsi="Times New Roman"/>
          <w:sz w:val="28"/>
          <w:szCs w:val="28"/>
        </w:rPr>
        <w:t xml:space="preserve">–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1870,</w:t>
      </w:r>
      <w:r>
        <w:rPr>
          <w:rFonts w:ascii="Times New Roman" w:hAnsi="Times New Roman"/>
          <w:b/>
          <w:sz w:val="28"/>
          <w:szCs w:val="28"/>
        </w:rPr>
        <w:t xml:space="preserve">8</w:t>
      </w:r>
      <w:r>
        <w:rPr>
          <w:rFonts w:ascii="Times New Roman" w:hAnsi="Times New Roman"/>
          <w:sz w:val="28"/>
          <w:szCs w:val="28"/>
        </w:rPr>
        <w:t xml:space="preserve"> тыс. рублей, в т</w:t>
      </w:r>
      <w:r>
        <w:rPr>
          <w:rFonts w:ascii="Times New Roman" w:hAnsi="Times New Roman"/>
          <w:sz w:val="28"/>
          <w:szCs w:val="28"/>
        </w:rPr>
        <w:t xml:space="preserve">.ч.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упла</w:t>
      </w:r>
      <w:r>
        <w:rPr>
          <w:rFonts w:ascii="Times New Roman" w:hAnsi="Times New Roman"/>
          <w:sz w:val="28"/>
          <w:szCs w:val="28"/>
        </w:rPr>
        <w:t xml:space="preserve">ту налогов расходов составили -0,5</w:t>
      </w:r>
      <w:r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рублей.</w:t>
      </w:r>
      <w:r>
        <w:rPr>
          <w:rFonts w:ascii="Times New Roman" w:hAnsi="Times New Roman"/>
          <w:sz w:val="28"/>
          <w:szCs w:val="28"/>
        </w:rPr>
      </w:r>
      <w:r/>
    </w:p>
    <w:p>
      <w:pPr>
        <w:ind w:firstLine="708"/>
        <w:jc w:val="both"/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Обеспечение мероприятий по подготовке населения и организаций к действиям в чрезвычайных ситуациях, обеспечение пожарной безопасности в рамках </w:t>
      </w:r>
      <w:r>
        <w:rPr>
          <w:rFonts w:ascii="Times New Roman" w:hAnsi="Times New Roman"/>
          <w:sz w:val="28"/>
          <w:szCs w:val="28"/>
        </w:rPr>
        <w:t xml:space="preserve">к</w:t>
      </w:r>
      <w:r>
        <w:rPr>
          <w:rFonts w:ascii="Times New Roman" w:hAnsi="Times New Roman"/>
          <w:sz w:val="28"/>
          <w:szCs w:val="28"/>
        </w:rPr>
        <w:t xml:space="preserve">омплекса процессных мероприятий «Реализация мероприятий по созданию условий для безопасного проживания жителей</w:t>
      </w:r>
      <w:r>
        <w:rPr>
          <w:rFonts w:ascii="Times New Roman" w:hAnsi="Times New Roman"/>
          <w:sz w:val="28"/>
          <w:szCs w:val="28"/>
        </w:rPr>
        <w:t xml:space="preserve"> Прилепенского сельского поселения» муниципальной программы «Устойчивое развитие сельских территорий Прилепенского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» в 1 квартале 2025</w:t>
      </w:r>
      <w:r>
        <w:rPr>
          <w:rFonts w:ascii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b/>
          <w:sz w:val="28"/>
          <w:szCs w:val="28"/>
        </w:rPr>
        <w:t xml:space="preserve">268,4</w:t>
      </w:r>
      <w:r>
        <w:rPr>
          <w:rFonts w:ascii="Times New Roman" w:hAnsi="Times New Roman"/>
          <w:sz w:val="28"/>
          <w:szCs w:val="28"/>
        </w:rPr>
        <w:t xml:space="preserve"> тыс. рублей,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том числе </w:t>
      </w:r>
      <w:r>
        <w:rPr>
          <w:rFonts w:ascii="Times New Roman" w:hAnsi="Times New Roman"/>
          <w:sz w:val="28"/>
          <w:szCs w:val="28"/>
        </w:rPr>
        <w:t xml:space="preserve">на упла</w:t>
      </w:r>
      <w:r>
        <w:rPr>
          <w:rFonts w:ascii="Times New Roman" w:hAnsi="Times New Roman"/>
          <w:sz w:val="28"/>
          <w:szCs w:val="28"/>
        </w:rPr>
        <w:t xml:space="preserve">ту налогов расходов составили -1,5</w:t>
      </w:r>
      <w:r>
        <w:rPr>
          <w:rFonts w:ascii="Times New Roman" w:hAnsi="Times New Roman"/>
          <w:sz w:val="28"/>
          <w:szCs w:val="28"/>
        </w:rPr>
        <w:t xml:space="preserve"> тыс</w:t>
      </w:r>
      <w:r>
        <w:rPr>
          <w:rFonts w:ascii="Times New Roman" w:hAnsi="Times New Roman"/>
          <w:sz w:val="28"/>
          <w:szCs w:val="28"/>
        </w:rPr>
        <w:t xml:space="preserve">.р</w:t>
      </w:r>
      <w:r>
        <w:rPr>
          <w:rFonts w:ascii="Times New Roman" w:hAnsi="Times New Roman"/>
          <w:sz w:val="28"/>
          <w:szCs w:val="28"/>
        </w:rPr>
        <w:t xml:space="preserve">ублей.</w:t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848"/>
        <w:ind w:firstLine="708"/>
        <w:jc w:val="both"/>
        <w:spacing w:after="0" w:line="240" w:lineRule="auto"/>
        <w:rPr>
          <w:sz w:val="28"/>
          <w:szCs w:val="28"/>
          <w:highlight w:val="none"/>
        </w:rPr>
      </w:pPr>
      <w:r>
        <w:rPr>
          <w:rFonts w:ascii="Times New Roman" w:hAnsi="Times New Roman"/>
          <w:sz w:val="28"/>
          <w:szCs w:val="28"/>
        </w:rPr>
        <w:t xml:space="preserve">В рамках иных </w:t>
      </w:r>
      <w:r>
        <w:rPr>
          <w:rFonts w:ascii="Times New Roman" w:hAnsi="Times New Roman"/>
          <w:sz w:val="28"/>
          <w:szCs w:val="28"/>
        </w:rPr>
        <w:t xml:space="preserve">непрограмнных</w:t>
      </w:r>
      <w:r>
        <w:rPr>
          <w:rFonts w:ascii="Times New Roman" w:hAnsi="Times New Roman"/>
          <w:sz w:val="28"/>
          <w:szCs w:val="28"/>
        </w:rPr>
        <w:t xml:space="preserve"> мероприятий "Осуществление полномочий по первичному воинскому учету на территориях, где отсутствуют комиссариаты» на территории </w:t>
      </w:r>
      <w:r>
        <w:rPr>
          <w:rFonts w:ascii="Times New Roman" w:hAnsi="Times New Roman"/>
          <w:sz w:val="28"/>
          <w:szCs w:val="28"/>
        </w:rPr>
        <w:t xml:space="preserve">Прилепенского </w:t>
      </w:r>
      <w:r>
        <w:rPr>
          <w:rFonts w:ascii="Times New Roman" w:hAnsi="Times New Roman"/>
          <w:sz w:val="28"/>
          <w:szCs w:val="28"/>
        </w:rPr>
        <w:t xml:space="preserve">сельского поселения» за счет Федерального фонда компенсаций расходы на проведение </w:t>
      </w:r>
      <w:r>
        <w:rPr>
          <w:rFonts w:ascii="Times New Roman" w:hAnsi="Times New Roman"/>
          <w:sz w:val="28"/>
          <w:szCs w:val="28"/>
        </w:rPr>
        <w:t xml:space="preserve">первичного воинского учета на территориях, где отсутствуют военные </w:t>
      </w:r>
      <w:r>
        <w:rPr>
          <w:rFonts w:ascii="Times New Roman" w:hAnsi="Times New Roman"/>
          <w:sz w:val="28"/>
          <w:szCs w:val="28"/>
        </w:rPr>
        <w:t xml:space="preserve">комиссариаты</w:t>
      </w:r>
      <w:r>
        <w:rPr>
          <w:rFonts w:ascii="Times New Roman" w:hAnsi="Times New Roman"/>
          <w:sz w:val="28"/>
          <w:szCs w:val="28"/>
        </w:rPr>
        <w:t xml:space="preserve"> исполнены в сумме </w:t>
      </w:r>
      <w:r>
        <w:rPr>
          <w:rFonts w:ascii="Times New Roman" w:hAnsi="Times New Roman"/>
          <w:b/>
          <w:sz w:val="28"/>
          <w:szCs w:val="28"/>
        </w:rPr>
        <w:t xml:space="preserve">23,4</w:t>
      </w:r>
      <w:r>
        <w:rPr>
          <w:rFonts w:ascii="Times New Roman" w:hAnsi="Times New Roman"/>
          <w:sz w:val="28"/>
          <w:szCs w:val="28"/>
        </w:rPr>
        <w:t xml:space="preserve"> тыс. рублей</w:t>
      </w:r>
      <w:r>
        <w:rPr>
          <w:bCs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/>
    </w:p>
    <w:p>
      <w:pPr>
        <w:pStyle w:val="848"/>
        <w:ind w:firstLine="708"/>
        <w:jc w:val="both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/>
    </w:p>
    <w:p>
      <w:pPr>
        <w:pStyle w:val="848"/>
        <w:ind w:firstLine="708"/>
        <w:jc w:val="both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/>
    </w:p>
    <w:p>
      <w:pPr>
        <w:pStyle w:val="848"/>
        <w:ind w:firstLine="708"/>
        <w:jc w:val="both"/>
        <w:spacing w:after="0" w:line="240" w:lineRule="auto"/>
        <w:rPr>
          <w:sz w:val="28"/>
          <w:szCs w:val="28"/>
        </w:rPr>
      </w:pPr>
      <w:r>
        <w:rPr>
          <w:bCs/>
          <w:sz w:val="28"/>
          <w:szCs w:val="28"/>
          <w:highlight w:val="none"/>
        </w:rPr>
      </w:r>
      <w:r>
        <w:rPr>
          <w:bCs/>
          <w:sz w:val="28"/>
          <w:szCs w:val="28"/>
          <w:highlight w:val="none"/>
        </w:rPr>
      </w:r>
      <w:r/>
    </w:p>
    <w:p>
      <w:pPr>
        <w:spacing w:after="0" w:line="240" w:lineRule="auto"/>
      </w:pPr>
      <w:r>
        <w:rPr>
          <w:rFonts w:ascii="Times New Roman" w:hAnsi="Times New Roman"/>
          <w:b/>
          <w:bCs/>
          <w:sz w:val="28"/>
          <w:szCs w:val="28"/>
        </w:rPr>
        <w:t xml:space="preserve">Глава администрации Прилепенского</w:t>
      </w:r>
      <w:r>
        <w:rPr>
          <w:rFonts w:ascii="Times New Roman" w:hAnsi="Times New Roman"/>
          <w:b/>
          <w:bCs/>
          <w:sz w:val="28"/>
          <w:szCs w:val="28"/>
        </w:rPr>
      </w:r>
      <w:r/>
    </w:p>
    <w:p>
      <w:pPr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сельского поселения                                                                      С.Н. </w:t>
      </w:r>
      <w:r>
        <w:rPr>
          <w:rFonts w:ascii="Times New Roman" w:hAnsi="Times New Roman"/>
          <w:b/>
          <w:bCs/>
          <w:sz w:val="28"/>
          <w:szCs w:val="28"/>
        </w:rPr>
        <w:t xml:space="preserve">Казбанов</w:t>
      </w:r>
      <w:r>
        <w:rPr>
          <w:rFonts w:ascii="Times New Roman" w:hAnsi="Times New Roman"/>
          <w:b/>
          <w:bCs/>
          <w:sz w:val="28"/>
          <w:szCs w:val="28"/>
        </w:rPr>
      </w:r>
      <w:r/>
    </w:p>
    <w:p>
      <w:pPr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</w:r>
      <w:r>
        <w:rPr>
          <w:rFonts w:ascii="Times New Roman" w:hAnsi="Times New Roman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822"/>
        <w:jc w:val="center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822"/>
        <w:jc w:val="right"/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822"/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/>
    </w:p>
    <w:sectPr>
      <w:footnotePr/>
      <w:endnotePr/>
      <w:type w:val="nextPage"/>
      <w:pgSz w:w="11906" w:h="16838" w:orient="portrait"/>
      <w:pgMar w:top="567" w:right="567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CYR">
    <w:panose1 w:val="020B0604020202020204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 Unicode MS">
    <w:panose1 w:val="020B0604020202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-"/>
      <w:lvlJc w:val="left"/>
      <w:pPr>
        <w:pStyle w:val="822"/>
        <w:ind w:left="720" w:hanging="360"/>
        <w:tabs>
          <w:tab w:val="num" w:pos="720" w:leader="none"/>
        </w:tabs>
      </w:pPr>
      <w:rPr>
        <w:rFonts w:ascii="Times New Roman" w:hAnsi="Times New Roman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822"/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822"/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822"/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822"/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822"/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822"/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822"/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822"/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0"/>
      <w:numFmt w:val="bullet"/>
      <w:isLgl w:val="false"/>
      <w:suff w:val="tab"/>
      <w:lvlText w:val="-"/>
      <w:lvlJc w:val="left"/>
      <w:pPr>
        <w:pStyle w:val="822"/>
        <w:ind w:left="540" w:hanging="360"/>
        <w:tabs>
          <w:tab w:val="num" w:pos="540" w:leader="none"/>
        </w:tabs>
      </w:pPr>
      <w:rPr>
        <w:rFonts w:ascii="Times New Roman" w:hAnsi="Times New Roman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822"/>
        <w:ind w:left="1440" w:hanging="360"/>
        <w:tabs>
          <w:tab w:val="num" w:pos="144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822"/>
        <w:ind w:left="2160" w:hanging="360"/>
        <w:tabs>
          <w:tab w:val="num" w:pos="216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822"/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822"/>
        <w:ind w:left="3600" w:hanging="360"/>
        <w:tabs>
          <w:tab w:val="num" w:pos="360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822"/>
        <w:ind w:left="4320" w:hanging="360"/>
        <w:tabs>
          <w:tab w:val="num" w:pos="432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822"/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822"/>
        <w:ind w:left="5760" w:hanging="360"/>
        <w:tabs>
          <w:tab w:val="num" w:pos="576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822"/>
        <w:ind w:left="6480" w:hanging="360"/>
        <w:tabs>
          <w:tab w:val="num" w:pos="6480" w:leader="none"/>
        </w:tabs>
      </w:pPr>
      <w:rPr>
        <w:rFonts w:ascii="Wingdings" w:hAnsi="Wingdings"/>
      </w:rPr>
    </w:lvl>
  </w:abstractNum>
  <w:abstractNum w:abstractNumId="2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pStyle w:val="822"/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pStyle w:val="822"/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pStyle w:val="822"/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pStyle w:val="822"/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pStyle w:val="822"/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pStyle w:val="822"/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pStyle w:val="822"/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pStyle w:val="822"/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pStyle w:val="822"/>
        <w:ind w:left="6480" w:hanging="180"/>
        <w:tabs>
          <w:tab w:val="num" w:pos="6480" w:leader="none"/>
        </w:tabs>
      </w:pPr>
    </w:lvl>
  </w:abstractNum>
  <w:abstractNum w:abstractNumId="3">
    <w:multiLevelType w:val="hybridMultilevel"/>
    <w:lvl w:ilvl="0">
      <w:start w:val="0"/>
      <w:numFmt w:val="bullet"/>
      <w:isLgl w:val="false"/>
      <w:suff w:val="tab"/>
      <w:lvlText w:val="-"/>
      <w:lvlJc w:val="left"/>
      <w:pPr>
        <w:pStyle w:val="822"/>
        <w:ind w:left="720" w:hanging="360"/>
        <w:tabs>
          <w:tab w:val="num" w:pos="720" w:leader="none"/>
        </w:tabs>
      </w:pPr>
      <w:rPr>
        <w:rFonts w:ascii="Times New Roman" w:hAnsi="Times New Roman" w:eastAsia="Times New Roman"/>
      </w:rPr>
    </w:lvl>
    <w:lvl w:ilvl="1">
      <w:start w:val="1"/>
      <w:numFmt w:val="decimal"/>
      <w:isLgl w:val="false"/>
      <w:suff w:val="tab"/>
      <w:lvlText w:val="%2."/>
      <w:lvlJc w:val="left"/>
      <w:pPr>
        <w:pStyle w:val="822"/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pStyle w:val="822"/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pStyle w:val="822"/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pStyle w:val="822"/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pStyle w:val="822"/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pStyle w:val="822"/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pStyle w:val="822"/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pStyle w:val="822"/>
        <w:ind w:left="6480" w:hanging="360"/>
        <w:tabs>
          <w:tab w:val="num" w:pos="6480" w:leader="none"/>
        </w:tabs>
      </w:pPr>
    </w:lvl>
  </w:abstractNum>
  <w:num w:numId="1">
    <w:abstractNumId w:val="3"/>
    <w:lvlOverride w:ilvl="0">
      <w:startOverride w:val="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44">
    <w:name w:val="Heading 1"/>
    <w:basedOn w:val="822"/>
    <w:next w:val="822"/>
    <w:link w:val="64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45">
    <w:name w:val="Heading 1 Char"/>
    <w:link w:val="644"/>
    <w:uiPriority w:val="9"/>
    <w:rPr>
      <w:rFonts w:ascii="Arial" w:hAnsi="Arial" w:eastAsia="Arial" w:cs="Arial"/>
      <w:sz w:val="40"/>
      <w:szCs w:val="40"/>
    </w:rPr>
  </w:style>
  <w:style w:type="paragraph" w:styleId="646">
    <w:name w:val="Heading 2"/>
    <w:basedOn w:val="822"/>
    <w:next w:val="822"/>
    <w:link w:val="64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47">
    <w:name w:val="Heading 2 Char"/>
    <w:link w:val="646"/>
    <w:uiPriority w:val="9"/>
    <w:rPr>
      <w:rFonts w:ascii="Arial" w:hAnsi="Arial" w:eastAsia="Arial" w:cs="Arial"/>
      <w:sz w:val="34"/>
    </w:rPr>
  </w:style>
  <w:style w:type="paragraph" w:styleId="648">
    <w:name w:val="Heading 3"/>
    <w:basedOn w:val="822"/>
    <w:next w:val="822"/>
    <w:link w:val="64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49">
    <w:name w:val="Heading 3 Char"/>
    <w:link w:val="648"/>
    <w:uiPriority w:val="9"/>
    <w:rPr>
      <w:rFonts w:ascii="Arial" w:hAnsi="Arial" w:eastAsia="Arial" w:cs="Arial"/>
      <w:sz w:val="30"/>
      <w:szCs w:val="30"/>
    </w:rPr>
  </w:style>
  <w:style w:type="paragraph" w:styleId="650">
    <w:name w:val="Heading 4"/>
    <w:basedOn w:val="822"/>
    <w:next w:val="822"/>
    <w:link w:val="65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51">
    <w:name w:val="Heading 4 Char"/>
    <w:link w:val="650"/>
    <w:uiPriority w:val="9"/>
    <w:rPr>
      <w:rFonts w:ascii="Arial" w:hAnsi="Arial" w:eastAsia="Arial" w:cs="Arial"/>
      <w:b/>
      <w:bCs/>
      <w:sz w:val="26"/>
      <w:szCs w:val="26"/>
    </w:rPr>
  </w:style>
  <w:style w:type="paragraph" w:styleId="652">
    <w:name w:val="Heading 5"/>
    <w:basedOn w:val="822"/>
    <w:next w:val="822"/>
    <w:link w:val="65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53">
    <w:name w:val="Heading 5 Char"/>
    <w:link w:val="652"/>
    <w:uiPriority w:val="9"/>
    <w:rPr>
      <w:rFonts w:ascii="Arial" w:hAnsi="Arial" w:eastAsia="Arial" w:cs="Arial"/>
      <w:b/>
      <w:bCs/>
      <w:sz w:val="24"/>
      <w:szCs w:val="24"/>
    </w:rPr>
  </w:style>
  <w:style w:type="paragraph" w:styleId="654">
    <w:name w:val="Heading 6"/>
    <w:basedOn w:val="822"/>
    <w:next w:val="822"/>
    <w:link w:val="65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55">
    <w:name w:val="Heading 6 Char"/>
    <w:link w:val="654"/>
    <w:uiPriority w:val="9"/>
    <w:rPr>
      <w:rFonts w:ascii="Arial" w:hAnsi="Arial" w:eastAsia="Arial" w:cs="Arial"/>
      <w:b/>
      <w:bCs/>
      <w:sz w:val="22"/>
      <w:szCs w:val="22"/>
    </w:rPr>
  </w:style>
  <w:style w:type="paragraph" w:styleId="656">
    <w:name w:val="Heading 7"/>
    <w:basedOn w:val="822"/>
    <w:next w:val="822"/>
    <w:link w:val="65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57">
    <w:name w:val="Heading 7 Char"/>
    <w:link w:val="65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58">
    <w:name w:val="Heading 8"/>
    <w:basedOn w:val="822"/>
    <w:next w:val="822"/>
    <w:link w:val="65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59">
    <w:name w:val="Heading 8 Char"/>
    <w:link w:val="658"/>
    <w:uiPriority w:val="9"/>
    <w:rPr>
      <w:rFonts w:ascii="Arial" w:hAnsi="Arial" w:eastAsia="Arial" w:cs="Arial"/>
      <w:i/>
      <w:iCs/>
      <w:sz w:val="22"/>
      <w:szCs w:val="22"/>
    </w:rPr>
  </w:style>
  <w:style w:type="paragraph" w:styleId="660">
    <w:name w:val="Heading 9"/>
    <w:basedOn w:val="822"/>
    <w:next w:val="822"/>
    <w:link w:val="66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1">
    <w:name w:val="Heading 9 Char"/>
    <w:link w:val="660"/>
    <w:uiPriority w:val="9"/>
    <w:rPr>
      <w:rFonts w:ascii="Arial" w:hAnsi="Arial" w:eastAsia="Arial" w:cs="Arial"/>
      <w:i/>
      <w:iCs/>
      <w:sz w:val="21"/>
      <w:szCs w:val="21"/>
    </w:rPr>
  </w:style>
  <w:style w:type="paragraph" w:styleId="662">
    <w:name w:val="List Paragraph"/>
    <w:basedOn w:val="822"/>
    <w:uiPriority w:val="34"/>
    <w:qFormat/>
    <w:pPr>
      <w:contextualSpacing/>
      <w:ind w:left="720"/>
    </w:pPr>
  </w:style>
  <w:style w:type="paragraph" w:styleId="663">
    <w:name w:val="No Spacing"/>
    <w:uiPriority w:val="1"/>
    <w:qFormat/>
    <w:pPr>
      <w:spacing w:before="0" w:after="0" w:line="240" w:lineRule="auto"/>
    </w:pPr>
  </w:style>
  <w:style w:type="paragraph" w:styleId="664">
    <w:name w:val="Title"/>
    <w:basedOn w:val="822"/>
    <w:next w:val="822"/>
    <w:link w:val="66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65">
    <w:name w:val="Title Char"/>
    <w:link w:val="664"/>
    <w:uiPriority w:val="10"/>
    <w:rPr>
      <w:sz w:val="48"/>
      <w:szCs w:val="48"/>
    </w:rPr>
  </w:style>
  <w:style w:type="paragraph" w:styleId="666">
    <w:name w:val="Subtitle"/>
    <w:basedOn w:val="822"/>
    <w:next w:val="822"/>
    <w:link w:val="667"/>
    <w:uiPriority w:val="11"/>
    <w:qFormat/>
    <w:pPr>
      <w:spacing w:before="200" w:after="200"/>
    </w:pPr>
    <w:rPr>
      <w:sz w:val="24"/>
      <w:szCs w:val="24"/>
    </w:rPr>
  </w:style>
  <w:style w:type="character" w:styleId="667">
    <w:name w:val="Subtitle Char"/>
    <w:link w:val="666"/>
    <w:uiPriority w:val="11"/>
    <w:rPr>
      <w:sz w:val="24"/>
      <w:szCs w:val="24"/>
    </w:rPr>
  </w:style>
  <w:style w:type="paragraph" w:styleId="668">
    <w:name w:val="Quote"/>
    <w:basedOn w:val="822"/>
    <w:next w:val="822"/>
    <w:link w:val="669"/>
    <w:uiPriority w:val="29"/>
    <w:qFormat/>
    <w:pPr>
      <w:ind w:left="720" w:right="720"/>
    </w:pPr>
    <w:rPr>
      <w:i/>
    </w:rPr>
  </w:style>
  <w:style w:type="character" w:styleId="669">
    <w:name w:val="Quote Char"/>
    <w:link w:val="668"/>
    <w:uiPriority w:val="29"/>
    <w:rPr>
      <w:i/>
    </w:rPr>
  </w:style>
  <w:style w:type="paragraph" w:styleId="670">
    <w:name w:val="Intense Quote"/>
    <w:basedOn w:val="822"/>
    <w:next w:val="822"/>
    <w:link w:val="67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1">
    <w:name w:val="Intense Quote Char"/>
    <w:link w:val="670"/>
    <w:uiPriority w:val="30"/>
    <w:rPr>
      <w:i/>
    </w:rPr>
  </w:style>
  <w:style w:type="paragraph" w:styleId="672">
    <w:name w:val="Header"/>
    <w:basedOn w:val="822"/>
    <w:link w:val="67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73">
    <w:name w:val="Header Char"/>
    <w:link w:val="672"/>
    <w:uiPriority w:val="99"/>
  </w:style>
  <w:style w:type="paragraph" w:styleId="674">
    <w:name w:val="Footer"/>
    <w:basedOn w:val="822"/>
    <w:link w:val="67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75">
    <w:name w:val="Footer Char"/>
    <w:link w:val="674"/>
    <w:uiPriority w:val="99"/>
  </w:style>
  <w:style w:type="paragraph" w:styleId="676">
    <w:name w:val="Caption"/>
    <w:basedOn w:val="822"/>
    <w:next w:val="82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7">
    <w:name w:val="Caption Char"/>
    <w:basedOn w:val="676"/>
    <w:link w:val="674"/>
    <w:uiPriority w:val="99"/>
  </w:style>
  <w:style w:type="table" w:styleId="67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7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8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8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0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0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0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1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1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1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1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1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1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1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1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2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2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2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2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4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4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4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4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4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4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4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7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7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7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7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7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7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7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7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8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8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8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8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79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79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0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0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04">
    <w:name w:val="Hyperlink"/>
    <w:uiPriority w:val="99"/>
    <w:unhideWhenUsed/>
    <w:rPr>
      <w:color w:val="0000ff" w:themeColor="hyperlink"/>
      <w:u w:val="single"/>
    </w:rPr>
  </w:style>
  <w:style w:type="paragraph" w:styleId="805">
    <w:name w:val="footnote text"/>
    <w:basedOn w:val="822"/>
    <w:link w:val="806"/>
    <w:uiPriority w:val="99"/>
    <w:semiHidden/>
    <w:unhideWhenUsed/>
    <w:pPr>
      <w:spacing w:after="40" w:line="240" w:lineRule="auto"/>
    </w:pPr>
    <w:rPr>
      <w:sz w:val="18"/>
    </w:rPr>
  </w:style>
  <w:style w:type="character" w:styleId="806">
    <w:name w:val="Footnote Text Char"/>
    <w:link w:val="805"/>
    <w:uiPriority w:val="99"/>
    <w:rPr>
      <w:sz w:val="18"/>
    </w:rPr>
  </w:style>
  <w:style w:type="character" w:styleId="807">
    <w:name w:val="footnote reference"/>
    <w:uiPriority w:val="99"/>
    <w:unhideWhenUsed/>
    <w:rPr>
      <w:vertAlign w:val="superscript"/>
    </w:rPr>
  </w:style>
  <w:style w:type="paragraph" w:styleId="808">
    <w:name w:val="endnote text"/>
    <w:basedOn w:val="822"/>
    <w:link w:val="809"/>
    <w:uiPriority w:val="99"/>
    <w:semiHidden/>
    <w:unhideWhenUsed/>
    <w:pPr>
      <w:spacing w:after="0" w:line="240" w:lineRule="auto"/>
    </w:pPr>
    <w:rPr>
      <w:sz w:val="20"/>
    </w:rPr>
  </w:style>
  <w:style w:type="character" w:styleId="809">
    <w:name w:val="Endnote Text Char"/>
    <w:link w:val="808"/>
    <w:uiPriority w:val="99"/>
    <w:rPr>
      <w:sz w:val="20"/>
    </w:rPr>
  </w:style>
  <w:style w:type="character" w:styleId="810">
    <w:name w:val="endnote reference"/>
    <w:uiPriority w:val="99"/>
    <w:semiHidden/>
    <w:unhideWhenUsed/>
    <w:rPr>
      <w:vertAlign w:val="superscript"/>
    </w:rPr>
  </w:style>
  <w:style w:type="paragraph" w:styleId="811">
    <w:name w:val="toc 1"/>
    <w:basedOn w:val="822"/>
    <w:next w:val="822"/>
    <w:uiPriority w:val="39"/>
    <w:unhideWhenUsed/>
    <w:pPr>
      <w:ind w:left="0" w:right="0" w:firstLine="0"/>
      <w:spacing w:after="57"/>
    </w:pPr>
  </w:style>
  <w:style w:type="paragraph" w:styleId="812">
    <w:name w:val="toc 2"/>
    <w:basedOn w:val="822"/>
    <w:next w:val="822"/>
    <w:uiPriority w:val="39"/>
    <w:unhideWhenUsed/>
    <w:pPr>
      <w:ind w:left="283" w:right="0" w:firstLine="0"/>
      <w:spacing w:after="57"/>
    </w:pPr>
  </w:style>
  <w:style w:type="paragraph" w:styleId="813">
    <w:name w:val="toc 3"/>
    <w:basedOn w:val="822"/>
    <w:next w:val="822"/>
    <w:uiPriority w:val="39"/>
    <w:unhideWhenUsed/>
    <w:pPr>
      <w:ind w:left="567" w:right="0" w:firstLine="0"/>
      <w:spacing w:after="57"/>
    </w:pPr>
  </w:style>
  <w:style w:type="paragraph" w:styleId="814">
    <w:name w:val="toc 4"/>
    <w:basedOn w:val="822"/>
    <w:next w:val="822"/>
    <w:uiPriority w:val="39"/>
    <w:unhideWhenUsed/>
    <w:pPr>
      <w:ind w:left="850" w:right="0" w:firstLine="0"/>
      <w:spacing w:after="57"/>
    </w:pPr>
  </w:style>
  <w:style w:type="paragraph" w:styleId="815">
    <w:name w:val="toc 5"/>
    <w:basedOn w:val="822"/>
    <w:next w:val="822"/>
    <w:uiPriority w:val="39"/>
    <w:unhideWhenUsed/>
    <w:pPr>
      <w:ind w:left="1134" w:right="0" w:firstLine="0"/>
      <w:spacing w:after="57"/>
    </w:pPr>
  </w:style>
  <w:style w:type="paragraph" w:styleId="816">
    <w:name w:val="toc 6"/>
    <w:basedOn w:val="822"/>
    <w:next w:val="822"/>
    <w:uiPriority w:val="39"/>
    <w:unhideWhenUsed/>
    <w:pPr>
      <w:ind w:left="1417" w:right="0" w:firstLine="0"/>
      <w:spacing w:after="57"/>
    </w:pPr>
  </w:style>
  <w:style w:type="paragraph" w:styleId="817">
    <w:name w:val="toc 7"/>
    <w:basedOn w:val="822"/>
    <w:next w:val="822"/>
    <w:uiPriority w:val="39"/>
    <w:unhideWhenUsed/>
    <w:pPr>
      <w:ind w:left="1701" w:right="0" w:firstLine="0"/>
      <w:spacing w:after="57"/>
    </w:pPr>
  </w:style>
  <w:style w:type="paragraph" w:styleId="818">
    <w:name w:val="toc 8"/>
    <w:basedOn w:val="822"/>
    <w:next w:val="822"/>
    <w:uiPriority w:val="39"/>
    <w:unhideWhenUsed/>
    <w:pPr>
      <w:ind w:left="1984" w:right="0" w:firstLine="0"/>
      <w:spacing w:after="57"/>
    </w:pPr>
  </w:style>
  <w:style w:type="paragraph" w:styleId="819">
    <w:name w:val="toc 9"/>
    <w:basedOn w:val="822"/>
    <w:next w:val="822"/>
    <w:uiPriority w:val="39"/>
    <w:unhideWhenUsed/>
    <w:pPr>
      <w:ind w:left="2268" w:right="0" w:firstLine="0"/>
      <w:spacing w:after="57"/>
    </w:pPr>
  </w:style>
  <w:style w:type="paragraph" w:styleId="820">
    <w:name w:val="TOC Heading"/>
    <w:uiPriority w:val="39"/>
    <w:unhideWhenUsed/>
  </w:style>
  <w:style w:type="paragraph" w:styleId="821">
    <w:name w:val="table of figures"/>
    <w:basedOn w:val="822"/>
    <w:next w:val="822"/>
    <w:uiPriority w:val="99"/>
    <w:unhideWhenUsed/>
    <w:pPr>
      <w:spacing w:after="0" w:afterAutospacing="0"/>
    </w:pPr>
  </w:style>
  <w:style w:type="paragraph" w:styleId="822" w:default="1">
    <w:name w:val="Normal"/>
    <w:next w:val="822"/>
    <w:link w:val="822"/>
    <w:pPr>
      <w:spacing w:after="200" w:line="276" w:lineRule="auto"/>
    </w:pPr>
    <w:rPr>
      <w:rFonts w:ascii="Calibri" w:hAnsi="Calibri"/>
      <w:sz w:val="22"/>
      <w:szCs w:val="22"/>
      <w:lang w:val="ru-RU" w:eastAsia="ru-RU" w:bidi="ar-SA"/>
    </w:rPr>
  </w:style>
  <w:style w:type="paragraph" w:styleId="823">
    <w:name w:val="Заголовок 1"/>
    <w:basedOn w:val="822"/>
    <w:next w:val="822"/>
    <w:link w:val="829"/>
    <w:pPr>
      <w:jc w:val="center"/>
      <w:keepNext/>
      <w:spacing w:after="0" w:line="240" w:lineRule="auto"/>
      <w:outlineLvl w:val="0"/>
    </w:pPr>
    <w:rPr>
      <w:rFonts w:ascii="Times New Roman" w:hAnsi="Times New Roman"/>
      <w:b/>
      <w:sz w:val="28"/>
      <w:szCs w:val="20"/>
    </w:rPr>
  </w:style>
  <w:style w:type="paragraph" w:styleId="824">
    <w:name w:val="Заголовок 2"/>
    <w:basedOn w:val="822"/>
    <w:next w:val="822"/>
    <w:link w:val="830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4"/>
    </w:rPr>
  </w:style>
  <w:style w:type="paragraph" w:styleId="825">
    <w:name w:val="Заголовок 3"/>
    <w:basedOn w:val="822"/>
    <w:next w:val="822"/>
    <w:link w:val="822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styleId="826">
    <w:name w:val="Основной шрифт абзаца"/>
    <w:next w:val="826"/>
    <w:link w:val="822"/>
    <w:semiHidden/>
  </w:style>
  <w:style w:type="table" w:styleId="827">
    <w:name w:val="Обычная таблица"/>
    <w:next w:val="827"/>
    <w:link w:val="822"/>
    <w:semiHidden/>
    <w:tblPr/>
  </w:style>
  <w:style w:type="numbering" w:styleId="828">
    <w:name w:val="Нет списка"/>
    <w:next w:val="828"/>
    <w:link w:val="822"/>
    <w:semiHidden/>
  </w:style>
  <w:style w:type="character" w:styleId="829">
    <w:name w:val="Заголовок 1 Знак"/>
    <w:basedOn w:val="826"/>
    <w:next w:val="829"/>
    <w:link w:val="823"/>
    <w:rPr>
      <w:b/>
      <w:sz w:val="28"/>
      <w:lang w:val="ru-RU" w:eastAsia="ru-RU" w:bidi="ar-SA"/>
    </w:rPr>
  </w:style>
  <w:style w:type="character" w:styleId="830">
    <w:name w:val="Заголовок 2 Знак"/>
    <w:basedOn w:val="826"/>
    <w:next w:val="830"/>
    <w:link w:val="824"/>
    <w:rPr>
      <w:b/>
      <w:sz w:val="28"/>
      <w:szCs w:val="24"/>
      <w:lang w:val="ru-RU" w:eastAsia="ru-RU" w:bidi="ar-SA"/>
    </w:rPr>
  </w:style>
  <w:style w:type="paragraph" w:styleId="831">
    <w:name w:val="Основной текст"/>
    <w:basedOn w:val="822"/>
    <w:next w:val="831"/>
    <w:link w:val="832"/>
    <w:pPr>
      <w:jc w:val="both"/>
      <w:spacing w:after="0" w:line="240" w:lineRule="auto"/>
    </w:pPr>
    <w:rPr>
      <w:rFonts w:ascii="Times New Roman" w:hAnsi="Times New Roman"/>
      <w:sz w:val="28"/>
      <w:szCs w:val="24"/>
    </w:rPr>
  </w:style>
  <w:style w:type="character" w:styleId="832">
    <w:name w:val="Основной текст Знак"/>
    <w:basedOn w:val="826"/>
    <w:next w:val="832"/>
    <w:link w:val="831"/>
    <w:rPr>
      <w:sz w:val="28"/>
      <w:szCs w:val="24"/>
      <w:lang w:val="ru-RU" w:eastAsia="ru-RU" w:bidi="ar-SA"/>
    </w:rPr>
  </w:style>
  <w:style w:type="paragraph" w:styleId="833">
    <w:name w:val="Основной текст с отступом"/>
    <w:basedOn w:val="822"/>
    <w:next w:val="833"/>
    <w:link w:val="834"/>
    <w:pPr>
      <w:ind w:firstLine="360"/>
      <w:jc w:val="both"/>
      <w:spacing w:after="0" w:line="240" w:lineRule="auto"/>
    </w:pPr>
    <w:rPr>
      <w:rFonts w:ascii="Times New Roman" w:hAnsi="Times New Roman"/>
      <w:sz w:val="28"/>
      <w:szCs w:val="24"/>
    </w:rPr>
  </w:style>
  <w:style w:type="character" w:styleId="834">
    <w:name w:val="Основной текст с отступом Знак"/>
    <w:basedOn w:val="826"/>
    <w:next w:val="834"/>
    <w:link w:val="833"/>
    <w:rPr>
      <w:sz w:val="28"/>
      <w:szCs w:val="24"/>
      <w:lang w:val="ru-RU" w:eastAsia="ru-RU" w:bidi="ar-SA"/>
    </w:rPr>
  </w:style>
  <w:style w:type="paragraph" w:styleId="835">
    <w:name w:val="Основной текст 2"/>
    <w:basedOn w:val="822"/>
    <w:next w:val="835"/>
    <w:link w:val="836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styleId="836">
    <w:name w:val="Основной текст 2 Знак"/>
    <w:basedOn w:val="826"/>
    <w:next w:val="836"/>
    <w:link w:val="835"/>
    <w:rPr>
      <w:sz w:val="24"/>
      <w:szCs w:val="24"/>
      <w:lang w:val="ru-RU" w:eastAsia="ru-RU" w:bidi="ar-SA"/>
    </w:rPr>
  </w:style>
  <w:style w:type="character" w:styleId="837">
    <w:name w:val="Гиперссылка"/>
    <w:basedOn w:val="826"/>
    <w:next w:val="837"/>
    <w:link w:val="822"/>
    <w:rPr>
      <w:color w:val="0000ff"/>
      <w:u w:val="single"/>
    </w:rPr>
  </w:style>
  <w:style w:type="paragraph" w:styleId="838">
    <w:name w:val="Текст выноски"/>
    <w:basedOn w:val="822"/>
    <w:next w:val="838"/>
    <w:link w:val="822"/>
    <w:semiHidden/>
    <w:rPr>
      <w:rFonts w:ascii="Tahoma" w:hAnsi="Tahoma"/>
      <w:sz w:val="16"/>
      <w:szCs w:val="16"/>
    </w:rPr>
  </w:style>
  <w:style w:type="paragraph" w:styleId="839">
    <w:name w:val="Подзаголовок"/>
    <w:basedOn w:val="822"/>
    <w:next w:val="831"/>
    <w:link w:val="822"/>
    <w:pPr>
      <w:jc w:val="center"/>
      <w:spacing w:after="0" w:line="240" w:lineRule="auto"/>
      <w:widowControl w:val="off"/>
    </w:pPr>
    <w:rPr>
      <w:rFonts w:ascii="Times New Roman" w:hAnsi="Times New Roman" w:eastAsia="Arial Unicode MS"/>
      <w:b/>
      <w:i/>
      <w:sz w:val="24"/>
      <w:szCs w:val="24"/>
    </w:rPr>
  </w:style>
  <w:style w:type="paragraph" w:styleId="840">
    <w:name w:val="Название"/>
    <w:basedOn w:val="822"/>
    <w:next w:val="839"/>
    <w:link w:val="822"/>
    <w:pPr>
      <w:jc w:val="center"/>
      <w:spacing w:after="0" w:line="240" w:lineRule="auto"/>
    </w:pPr>
    <w:rPr>
      <w:rFonts w:ascii="Times New Roman" w:hAnsi="Times New Roman"/>
      <w:b/>
      <w:sz w:val="28"/>
      <w:szCs w:val="20"/>
      <w:lang w:eastAsia="ar-SA"/>
    </w:rPr>
  </w:style>
  <w:style w:type="character" w:styleId="841">
    <w:name w:val="blk"/>
    <w:basedOn w:val="826"/>
    <w:next w:val="841"/>
    <w:link w:val="822"/>
  </w:style>
  <w:style w:type="paragraph" w:styleId="842">
    <w:name w:val="Название объекта"/>
    <w:basedOn w:val="822"/>
    <w:next w:val="822"/>
    <w:link w:val="822"/>
    <w:pPr>
      <w:ind w:left="4003"/>
      <w:spacing w:after="0" w:line="391" w:lineRule="exact"/>
      <w:shd w:val="clear" w:color="auto" w:fill="ffffff"/>
      <w:widowControl w:val="off"/>
    </w:pPr>
    <w:rPr>
      <w:rFonts w:ascii="Times New Roman" w:hAnsi="Times New Roman"/>
      <w:b/>
      <w:bCs/>
      <w:color w:val="000000"/>
      <w:spacing w:val="-5"/>
      <w:sz w:val="26"/>
      <w:szCs w:val="26"/>
    </w:rPr>
  </w:style>
  <w:style w:type="character" w:styleId="843" w:default="1">
    <w:name w:val="Default Paragraph Font"/>
    <w:uiPriority w:val="1"/>
    <w:semiHidden/>
    <w:unhideWhenUsed/>
  </w:style>
  <w:style w:type="numbering" w:styleId="844" w:default="1">
    <w:name w:val="No List"/>
    <w:uiPriority w:val="99"/>
    <w:semiHidden/>
    <w:unhideWhenUsed/>
  </w:style>
  <w:style w:type="table" w:styleId="845" w:default="1">
    <w:name w:val="Normal Table"/>
    <w:uiPriority w:val="99"/>
    <w:semiHidden/>
    <w:unhideWhenUsed/>
    <w:tblPr/>
  </w:style>
  <w:style w:type="paragraph" w:styleId="846">
    <w:name w:val="Normal (Web)"/>
    <w:basedOn w:val="716"/>
    <w:uiPriority w:val="99"/>
    <w:unhideWhenUsed/>
    <w:qFormat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1" w:after="200" w:afterAutospacing="1" w:line="240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</w:rPr>
  </w:style>
  <w:style w:type="paragraph" w:styleId="847" w:customStyle="1">
    <w:name w:val="Body Text"/>
    <w:pPr>
      <w:contextualSpacing w:val="0"/>
      <w:ind w:left="0" w:right="0" w:firstLine="0"/>
      <w:jc w:val="both"/>
      <w:keepLines w:val="0"/>
      <w:keepNext w:val="0"/>
      <w:pageBreakBefore w:val="0"/>
      <w:spacing w:before="0" w:beforeAutospacing="0" w:after="0" w:afterAutospacing="0" w:line="240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48" w:customStyle="1">
    <w:name w:val="Body Text 2"/>
    <w:uiPriority w:val="99"/>
    <w:semiHidden/>
    <w:unhideWhenUsed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120" w:afterAutospacing="0" w:line="480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8</cp:revision>
  <dcterms:modified xsi:type="dcterms:W3CDTF">2025-05-13T07:01:40Z</dcterms:modified>
</cp:coreProperties>
</file>