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tabs>
          <w:tab w:val="clear" w:pos="708"/>
          <w:tab w:val="left" w:pos="709" w:leader="none"/>
        </w:tabs>
        <w:spacing w:lineRule="auto" w:line="240" w:beforeAutospacing="0" w:before="0" w:afterAutospacing="0" w:after="0"/>
        <w:jc w:val="center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/>
          <w:b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33400" cy="647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lineRule="auto" w:line="240" w:beforeAutospacing="0" w:before="0" w:afterAutospacing="0" w:after="0"/>
        <w:jc w:val="center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  <w:t>АДМИНИСТРАЦИЯ  ПРИЛЕПЕНСКОГО СЕЛЬСКОГО ПОСЕЛЕНИЯ МУНИЦИПАЛЬНОГО РАЙОНА "ЧЕРНЯНСКИЙ РАЙОН" БЕЛГОРОДСКОЙ ОБЛАСТИ</w:t>
      </w:r>
    </w:p>
    <w:p>
      <w:pPr>
        <w:pStyle w:val="Style16"/>
        <w:spacing w:lineRule="auto" w:line="240" w:beforeAutospacing="0" w:before="0" w:afterAutospacing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>
          <w:rFonts w:ascii="Times New Roman" w:hAnsi="Times New Roman"/>
          <w:b/>
          <w:b/>
          <w:sz w:val="22"/>
          <w:szCs w:val="28"/>
          <w:highlight w:val="none"/>
        </w:rPr>
      </w:pPr>
      <w:r>
        <w:rPr>
          <w:rFonts w:ascii="Times New Roman" w:hAnsi="Times New Roman"/>
          <w:b/>
          <w:sz w:val="22"/>
          <w:szCs w:val="28"/>
        </w:rPr>
        <w:t>с. Верхнее Кузькино</w:t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Autospacing="0" w:before="0" w:afterAutospacing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«13» декабря </w:t>
      </w:r>
      <w:r>
        <w:rPr>
          <w:rFonts w:ascii="Times New Roman" w:hAnsi="Times New Roman"/>
          <w:b/>
          <w:color w:val="000000"/>
          <w:sz w:val="28"/>
          <w:szCs w:val="28"/>
        </w:rPr>
        <w:t>2022 г.                                                                                            № 28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«Энергосбережение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повышение энергетической эффективности на территории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Прилепенского сельского поселения муниципального района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«Чернянский район» Белгородской области на 2021-2023 годы»</w:t>
      </w:r>
    </w:p>
    <w:p>
      <w:pPr>
        <w:pStyle w:val="NormalWeb"/>
        <w:widowControl w:val="false"/>
        <w:spacing w:lineRule="auto" w:line="24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 w:val="false"/>
        <w:spacing w:lineRule="auto" w:line="24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Autospacing="0" w:before="0" w:afterAutospacing="0" w:after="0"/>
        <w:ind w:left="23" w:right="23" w:firstLine="6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соответствии  с  Федеральными  законами  от  06  октября 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Прилепенского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>
        <w:rPr>
          <w:bCs/>
          <w:color w:val="000000"/>
          <w:sz w:val="28"/>
          <w:szCs w:val="28"/>
        </w:rPr>
        <w:t>Прилепенского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на 2021 – 2023 годы» (прилагается).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" w:cs="Times New Roman"/>
          <w:color w:val="000000"/>
          <w:sz w:val="28"/>
          <w:szCs w:val="28"/>
        </w:rPr>
        <w:t xml:space="preserve">Настоящее постановление обнародовать в порядке, предусмотренном Уставом </w:t>
      </w:r>
      <w:r>
        <w:rPr>
          <w:rFonts w:eastAsia="Arial" w:cs="Times New Roman"/>
          <w:bCs/>
          <w:color w:val="000000"/>
          <w:sz w:val="28"/>
          <w:szCs w:val="28"/>
        </w:rPr>
        <w:t xml:space="preserve">Прилепенского </w:t>
      </w:r>
      <w:r>
        <w:rPr>
          <w:rFonts w:eastAsia="Arial" w:cs="Times New Roman"/>
          <w:color w:val="000000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eastAsia="Arial" w:cs="Times New Roman"/>
          <w:bCs/>
          <w:color w:val="000000"/>
          <w:sz w:val="28"/>
          <w:szCs w:val="28"/>
        </w:rPr>
        <w:t>Прилепенского</w:t>
      </w:r>
      <w:r>
        <w:rPr>
          <w:rFonts w:eastAsia="Arial" w:cs="Times New Roman"/>
          <w:color w:val="000000"/>
          <w:sz w:val="28"/>
          <w:szCs w:val="28"/>
        </w:rPr>
        <w:t xml:space="preserve"> сельского поселения в сети Интернет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(адрес сайта: https://verxneekuzkino-r31.gosweb.gosuslugi.ru/)</w:t>
      </w:r>
    </w:p>
    <w:p>
      <w:pPr>
        <w:pStyle w:val="NormalWeb"/>
        <w:spacing w:lineRule="auto" w:line="240" w:beforeAutospacing="0" w:before="0" w:afterAutospacing="0" w:after="0"/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Web"/>
        <w:spacing w:lineRule="auto" w:line="240" w:beforeAutospacing="0" w:before="0" w:afterAutospacing="0" w:after="0"/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</w:p>
    <w:tbl>
      <w:tblPr>
        <w:tblpPr w:bottomFromText="0" w:horzAnchor="margin" w:leftFromText="180" w:rightFromText="180" w:tblpX="0" w:tblpXSpec="left" w:tblpY="130" w:topFromText="0" w:vertAnchor="text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89"/>
        <w:gridCol w:w="3190"/>
        <w:gridCol w:w="3368"/>
      </w:tblGrid>
      <w:tr>
        <w:trPr/>
        <w:tc>
          <w:tcPr>
            <w:tcW w:w="3189" w:type="dxa"/>
            <w:tcBorders/>
          </w:tcPr>
          <w:p>
            <w:pPr>
              <w:pStyle w:val="2"/>
              <w:widowControl w:val="false"/>
              <w:spacing w:lineRule="atLeast" w:line="0"/>
              <w:rPr>
                <w:b/>
                <w:b/>
                <w:i w:val="false"/>
                <w:i w:val="false"/>
              </w:rPr>
            </w:pPr>
            <w:r>
              <w:rPr>
                <w:b/>
                <w:i w:val="false"/>
              </w:rPr>
              <w:t>Глава администрации Прилепенского</w:t>
            </w:r>
          </w:p>
          <w:p>
            <w:pPr>
              <w:pStyle w:val="2"/>
              <w:widowControl w:val="false"/>
              <w:spacing w:lineRule="atLeast" w:line="0"/>
              <w:rPr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b/>
                <w:i w:val="false"/>
              </w:rPr>
              <w:t>сельского поселения</w:t>
            </w:r>
          </w:p>
        </w:tc>
        <w:tc>
          <w:tcPr>
            <w:tcW w:w="3190" w:type="dxa"/>
            <w:tcBorders/>
          </w:tcPr>
          <w:p>
            <w:pPr>
              <w:pStyle w:val="2"/>
              <w:widowControl w:val="false"/>
              <w:spacing w:lineRule="atLeast" w:line="0"/>
              <w:rPr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b/>
                <w:i w:val="false"/>
                <w:sz w:val="28"/>
                <w:szCs w:val="28"/>
              </w:rPr>
            </w:r>
          </w:p>
        </w:tc>
        <w:tc>
          <w:tcPr>
            <w:tcW w:w="3368" w:type="dxa"/>
            <w:tcBorders/>
          </w:tcPr>
          <w:p>
            <w:pPr>
              <w:pStyle w:val="2"/>
              <w:widowControl w:val="false"/>
              <w:spacing w:lineRule="atLeast" w:line="0"/>
              <w:rPr>
                <w:b/>
                <w:b/>
                <w:i w:val="false"/>
                <w:i w:val="false"/>
              </w:rPr>
            </w:pPr>
            <w:r>
              <w:rPr>
                <w:b/>
                <w:i w:val="false"/>
              </w:rPr>
            </w:r>
          </w:p>
          <w:p>
            <w:pPr>
              <w:pStyle w:val="2"/>
              <w:widowControl w:val="false"/>
              <w:spacing w:lineRule="atLeast" w:line="0"/>
              <w:rPr>
                <w:b/>
                <w:b/>
                <w:i w:val="false"/>
                <w:i w:val="false"/>
              </w:rPr>
            </w:pPr>
            <w:r>
              <w:rPr>
                <w:b/>
                <w:i w:val="false"/>
              </w:rPr>
            </w:r>
          </w:p>
          <w:p>
            <w:pPr>
              <w:pStyle w:val="2"/>
              <w:widowControl w:val="false"/>
              <w:spacing w:lineRule="atLeast" w:line="0"/>
              <w:jc w:val="right"/>
              <w:rPr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b/>
                <w:i w:val="false"/>
              </w:rPr>
              <w:t>С.Н.Казбанов</w:t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4"/>
          <w:szCs w:val="16"/>
          <w:highlight w:val="none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16"/>
          <w:highlight w:val="none"/>
        </w:rPr>
      </w:pPr>
      <w:r>
        <w:rPr>
          <w:rFonts w:cs="Times New Roman" w:ascii="Times New Roman" w:hAnsi="Times New Roman"/>
          <w:sz w:val="24"/>
          <w:szCs w:val="16"/>
        </w:rPr>
        <w:t xml:space="preserve">Утверждена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  <w:t>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  <w:t>Прилепенского  сельского поселения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16"/>
        </w:rPr>
      </w:pPr>
      <w:r>
        <w:rPr>
          <w:rFonts w:cs="Times New Roman" w:ascii="Times New Roman" w:hAnsi="Times New Roman"/>
          <w:sz w:val="24"/>
          <w:szCs w:val="16"/>
        </w:rPr>
        <w:t>от «13» декабря 2022 года № 28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16"/>
        </w:rPr>
      </w:pPr>
      <w:r>
        <w:rPr>
          <w:rFonts w:cs="Times New Roman" w:ascii="Times New Roman" w:hAnsi="Times New Roman"/>
          <w:sz w:val="26"/>
          <w:szCs w:val="16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eastAsia="Times New Roman" w:cs="Times New Roman" w:ascii="Times New Roman" w:hAnsi="Times New Roman"/>
          <w:sz w:val="28"/>
          <w:szCs w:val="16"/>
        </w:rPr>
      </w:r>
    </w:p>
    <w:p>
      <w:pPr>
        <w:pStyle w:val="ConsPlusNormal"/>
        <w:spacing w:before="60" w:after="200"/>
        <w:ind w:left="0" w:right="0" w:hanging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66"/>
        </w:rPr>
        <w:t>МУНИЦИПАЛЬНАЯ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66"/>
        </w:rPr>
        <w:t>ПРОГРАММА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Прилепенского сельского поселения муниципального района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«Чернянский район» Белгородской области на 2021-2023 годы»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Разработана в соответствии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с приказом Минэнерго России от 30.06.2014 N 398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(Зарегистрировано в Минюсте России 04.08.2014 N 33449)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6"/>
        </w:rPr>
      </w:pPr>
      <w:r>
        <w:rPr>
          <w:rFonts w:eastAsia="Times New Roman" w:cs="Times New Roman" w:ascii="Times New Roman" w:hAnsi="Times New Roman"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6"/>
        </w:rPr>
      </w:pPr>
      <w:r>
        <w:rPr>
          <w:rFonts w:eastAsia="Times New Roman" w:cs="Times New Roman" w:ascii="Times New Roman" w:hAnsi="Times New Roman"/>
          <w:sz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0"/>
        </w:rPr>
        <w:t>Приложение № 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муниципальной программе «Энергосбережение 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на территории Прилепенского сельского поселения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«Энергосбережение и</w:t>
      </w:r>
      <w:r>
        <w:rPr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на территории Прилепенского 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tbl>
      <w:tblPr>
        <w:tblW w:w="1002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903"/>
      </w:tblGrid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Прилепенского сельского поселения муниципального района « Чернянский район» Белгородской области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Прилепенского сельского поселения муниципального района « Чернянский район» Белгородской области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Прилепенского сельского поселения муниципального района « Чернянский район» Белгородской области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>
        <w:trPr>
          <w:trHeight w:val="2156" w:hRule="atLeast"/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2021 - 2023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 финансирования Программы составит 0.0 руб., в том числе: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ЭСКО — 0.0 рублей;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год–  0.00  руб.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год–  0.00  руб.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2023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>
        <w:trPr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.</w:t>
            </w:r>
          </w:p>
        </w:tc>
      </w:tr>
    </w:tbl>
    <w:p>
      <w:pPr>
        <w:pStyle w:val="Normal"/>
        <w:spacing w:lineRule="exact" w:line="28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0"/>
        </w:rPr>
        <w:t>Приложение № 2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муниципальной программе «Энергосбережение 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на территории Прилепенского сельского поселения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b/>
          <w:sz w:val="28"/>
          <w:szCs w:val="28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>О ЦЕЛЕВЫХ ПОКАЗАТЕЛЯХ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«Энергосбережение и</w:t>
      </w:r>
      <w:r>
        <w:rPr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на территории Прилепенскеого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44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2131"/>
        <w:gridCol w:w="1306"/>
        <w:gridCol w:w="1229"/>
        <w:gridCol w:w="1230"/>
        <w:gridCol w:w="1230"/>
        <w:gridCol w:w="2069"/>
      </w:tblGrid>
      <w:tr>
        <w:trPr>
          <w:tblHeader w:val="true"/>
          <w:cantSplit w:val="true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>
        <w:trPr>
          <w:tblHeader w:val="true"/>
          <w:cantSplit w:val="true"/>
        </w:trPr>
        <w:tc>
          <w:tcPr>
            <w:tcW w:w="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</w:tr>
      <w:tr>
        <w:trPr>
          <w:tblHeader w:val="true"/>
          <w:cantSplit w:val="true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>
        <w:trPr>
          <w:cantSplit w:val="true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21.166348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21.166348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21.166348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21.166348</w:t>
            </w:r>
          </w:p>
        </w:tc>
      </w:tr>
      <w:tr>
        <w:trPr>
          <w:cantSplit w:val="true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2.857143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2.857143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2.857143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2.857143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850" w:top="1402" w:footer="567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0"/>
        </w:rPr>
        <w:t>Приложение № 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муниципальной программе «Энергосбережение 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на территории Прилепенского сельского поселения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highlight w:val="none"/>
        </w:rPr>
      </w:pPr>
      <w:bookmarkStart w:id="2" w:name="Par181"/>
      <w:bookmarkEnd w:id="2"/>
      <w:r>
        <w:rPr>
          <w:rFonts w:ascii="Times New Roman" w:hAnsi="Times New Roman"/>
          <w:b/>
          <w:sz w:val="28"/>
          <w:szCs w:val="28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>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«Энергосбережение и</w:t>
      </w:r>
      <w:r>
        <w:rPr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на территории Прилепенского сельского поселения 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Белгородской области на 2021 – 2023 годы»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14598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1"/>
        <w:gridCol w:w="2127"/>
        <w:gridCol w:w="1702"/>
        <w:gridCol w:w="991"/>
        <w:gridCol w:w="1701"/>
        <w:gridCol w:w="1700"/>
      </w:tblGrid>
      <w:tr>
        <w:trPr>
          <w:tblHeader w:val="true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2021 - 2023гг.</w:t>
            </w:r>
          </w:p>
        </w:tc>
      </w:tr>
      <w:tr>
        <w:trPr>
          <w:tblHeader w:val="true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blHeader w:val="true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rPr>
          <w:tblHeader w:val="true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blHeader w:val="true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rPr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Проведение инструктажей сотрудникам по экономии энергоресурсов(Организационное меропирятие)Администрация Прилепенского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 средства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  <w:br/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>
        <w:trPr>
          <w:cantSplit w:val="true"/>
        </w:trPr>
        <w:tc>
          <w:tcPr>
            <w:tcW w:w="850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567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0"/>
        </w:rPr>
        <w:t>Приложение № 4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муниципальной программе «Энергосбережение 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на территории Прилепенского сельского поселения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Белгородской области на 2021 – 2023 годы»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  <w:highlight w:val="none"/>
        </w:rPr>
      </w:pPr>
      <w:bookmarkStart w:id="3" w:name="Par426"/>
      <w:bookmarkEnd w:id="3"/>
      <w:r>
        <w:rPr>
          <w:rFonts w:cs="Times New Roman" w:ascii="Times New Roman" w:hAnsi="Times New Roman"/>
          <w:b/>
          <w:sz w:val="28"/>
          <w:szCs w:val="28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ДОСТИЖЕНИИ ЗНАЧЕНИЙ ЦЕЛЕВЫХ ПОКАЗАТЕЛЕЙ 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«Энергосбережение и</w:t>
      </w:r>
      <w:r>
        <w:rPr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на территории Прилепенского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муниципального района «Чернянский район»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Белгородской области на 2021 – 2023 годы»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2022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ПРИЛЕПЕНСКОГО СЕЛЬСКОГО ПОСЕЛЕНИЯ МУНИЦИПАЛЬНОГО РАЙОНА "ЧЕРНЯНСКИЙ РАЙОН" БЕЛГОРОДСКОЙ ОБЛАСТИ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00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1"/>
        <w:gridCol w:w="1703"/>
        <w:gridCol w:w="1358"/>
        <w:gridCol w:w="998"/>
        <w:gridCol w:w="1329"/>
      </w:tblGrid>
      <w:tr>
        <w:trPr>
          <w:tblHeader w:val="true"/>
          <w:cantSplit w:val="true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>
        <w:trPr>
          <w:tblHeader w:val="true"/>
          <w:cantSplit w:val="true"/>
        </w:trPr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blHeader w:val="true"/>
          <w:cantSplit w:val="true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___________________  </w:t>
        <w:tab/>
        <w:t xml:space="preserve">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 (должность)   </w:t>
        <w:tab/>
        <w:t xml:space="preserve">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технической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___________________   </w:t>
        <w:tab/>
        <w:t>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 (должность)   </w:t>
        <w:tab/>
        <w:t xml:space="preserve">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финансово-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___________________  </w:t>
        <w:tab/>
        <w:t xml:space="preserve">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  (должность)   </w:t>
        <w:tab/>
        <w:t xml:space="preserve">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567" w:gutter="0" w:header="0" w:top="850" w:footer="709" w:bottom="850"/>
          <w:pgNumType w:start="6"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"__" ______________ 20__ г.</w:t>
      </w:r>
      <w:bookmarkStart w:id="4" w:name="Par486"/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bookmarkEnd w:id="4"/>
      <w:r>
        <w:rPr>
          <w:rFonts w:eastAsia="Times New Roman" w:cs="Times New Roman" w:ascii="Times New Roman" w:hAnsi="Times New Roman"/>
          <w:b/>
          <w:bCs/>
          <w:sz w:val="24"/>
          <w:szCs w:val="20"/>
        </w:rPr>
        <w:t>Приложение № 5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муниципальной программе «Энергосбережение 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на территории Прилепенского  сельского поселения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муниципального района «Чернянский район»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  <w:t>Белгородской области на 2021 – 2023 годы»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  <w:highlight w:val="none"/>
        </w:rPr>
      </w:pPr>
      <w:bookmarkStart w:id="5" w:name="Par495"/>
      <w:bookmarkEnd w:id="5"/>
      <w:r>
        <w:rPr>
          <w:rFonts w:cs="Times New Roman" w:ascii="Times New Roman" w:hAnsi="Times New Roman"/>
          <w:b/>
          <w:sz w:val="28"/>
          <w:szCs w:val="28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РЕАЛИЗАЦИИ МЕРОПРИЯТИЙ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«Энергосбережение и</w:t>
      </w:r>
      <w:r>
        <w:rPr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повышение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на территории Прилепенского 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муниципального района «Чернянский район»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Белгородской области на 2021 – 2023 годы»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2022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организации: </w:t>
      </w:r>
      <w:bookmarkStart w:id="6" w:name="_Hlk45222238"/>
      <w:r>
        <w:rPr>
          <w:rFonts w:ascii="Times New Roman" w:hAnsi="Times New Roman"/>
          <w:sz w:val="28"/>
          <w:szCs w:val="28"/>
        </w:rPr>
        <w:t>АДМИНИСТРАЦИЯ ПРИЛЕПЕНСКОГО СЕЛЬСКОГО ПОСЕЛЕНИЯ МУНИЦИПАЛЬНОГО РАЙОНА "ЧЕРНЯНСКИЙ РАЙОН" БЕЛГОРОДСКОЙ ОБЛАСТИ</w:t>
      </w:r>
      <w:bookmarkEnd w:id="6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372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5"/>
        <w:gridCol w:w="3194"/>
        <w:gridCol w:w="870"/>
        <w:gridCol w:w="496"/>
        <w:gridCol w:w="480"/>
        <w:gridCol w:w="1005"/>
        <w:gridCol w:w="495"/>
        <w:gridCol w:w="479"/>
        <w:gridCol w:w="1006"/>
        <w:gridCol w:w="795"/>
        <w:gridCol w:w="2145"/>
        <w:gridCol w:w="674"/>
        <w:gridCol w:w="1140"/>
      </w:tblGrid>
      <w:tr>
        <w:trPr>
          <w:tblHeader w:val="true"/>
          <w:trHeight w:val="348" w:hRule="atLeast"/>
          <w:cantSplit w:val="true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blHeader w:val="true"/>
          <w:trHeight w:val="401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5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rPr>
          <w:tblHeader w:val="true"/>
          <w:trHeight w:val="453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>
        <w:trPr>
          <w:tblHeader w:val="true"/>
          <w:trHeight w:val="348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blHeader w:val="true"/>
          <w:cantSplit w:val="true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>
        <w:trPr>
          <w:trHeight w:val="397" w:hRule="atLeast"/>
          <w:cantSplit w:val="true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инструктажей сотрудникам по экономии энергоресурсов(Организационное меропирятие)Администрация Прилепенского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  <w:br/>
              <w:t>0.0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  <w:br/>
              <w:t>кВт*ч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139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1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5009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технической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финансово-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</w:t>
        <w:tab/>
        <w:t xml:space="preserve">   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 ______________ 20__ г.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ПРИЛЕПЕНСКОГО СЕЛЬСКОГО ПОСЕЛЕНИЯ МУНИЦИПАЛЬНОГО РАЙОНА "ЧЕРНЯНСКИЙ РАЙОН" БЕЛГОРОДСКОЙ ОБЛАСТИ на 2021 - 2023 годы.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Основным видом деятельности обследуемой организации является: string (84.11.35 ().).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Организация была зарегистрирована 2020-10-19 под регистрационным номером 1063119000394 (ОГРН) в органе гос. регистрации string.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0"/>
        <w:gridCol w:w="1835"/>
        <w:gridCol w:w="1026"/>
        <w:gridCol w:w="1208"/>
        <w:gridCol w:w="1069"/>
        <w:gridCol w:w="1450"/>
        <w:gridCol w:w="1360"/>
        <w:gridCol w:w="1035"/>
        <w:gridCol w:w="912"/>
        <w:gridCol w:w="1548"/>
        <w:gridCol w:w="870"/>
        <w:gridCol w:w="1597"/>
      </w:tblGrid>
      <w:tr>
        <w:trPr>
          <w:tblHeader w:val="true"/>
          <w:trHeight w:val="454" w:hRule="atLeast"/>
          <w:cantSplit w:val="true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эксплуа-тацию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>
        <w:trPr>
          <w:tblHeader w:val="true"/>
          <w:trHeight w:val="454" w:hRule="atLeast"/>
          <w:cantSplit w:val="true"/>
        </w:trPr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Прилепенского сельского поселения муниципального района "Чернянский район" Белгородской области Местонахождение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Кирпич Толщина стен мм. мм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чердачного помещения, утепление:  Металлическая без утепления чердачного помещения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Деревянные рамы двойные Нет 131.00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523.0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3551.0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3551.0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0.69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e"/>
        <w:tblW w:w="13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5"/>
        <w:gridCol w:w="1860"/>
        <w:gridCol w:w="1230"/>
        <w:gridCol w:w="1710"/>
        <w:gridCol w:w="1185"/>
        <w:gridCol w:w="1260"/>
        <w:gridCol w:w="1050"/>
        <w:gridCol w:w="990"/>
        <w:gridCol w:w="1650"/>
        <w:gridCol w:w="1245"/>
      </w:tblGrid>
      <w:tr>
        <w:trPr>
          <w:tblHeader w:val="true"/>
          <w:trHeight w:val="1110" w:hRule="atLeast"/>
          <w:cantSplit w:val="true"/>
        </w:trPr>
        <w:tc>
          <w:tcPr>
            <w:tcW w:w="85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п.п.</w:t>
            </w:r>
          </w:p>
        </w:tc>
        <w:tc>
          <w:tcPr>
            <w:tcW w:w="18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(марка) транспортного средства</w:t>
            </w:r>
          </w:p>
        </w:tc>
        <w:tc>
          <w:tcPr>
            <w:tcW w:w="12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единиц транс-портных средств</w:t>
            </w:r>
          </w:p>
        </w:tc>
        <w:tc>
          <w:tcPr>
            <w:tcW w:w="171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Грузоподъемность, т, пассажировместимость, чел.</w:t>
            </w:r>
          </w:p>
        </w:tc>
        <w:tc>
          <w:tcPr>
            <w:tcW w:w="118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Объем грузоперевозок,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тыс. т-км, тыс. пасс.-км</w:t>
            </w:r>
          </w:p>
        </w:tc>
        <w:tc>
          <w:tcPr>
            <w:tcW w:w="12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использованного топлива</w:t>
            </w:r>
          </w:p>
        </w:tc>
        <w:tc>
          <w:tcPr>
            <w:tcW w:w="20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Удельный расход топлива, л/100 км</w:t>
            </w:r>
          </w:p>
        </w:tc>
        <w:tc>
          <w:tcPr>
            <w:tcW w:w="16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Пробег, тыс. км</w:t>
            </w:r>
          </w:p>
        </w:tc>
        <w:tc>
          <w:tcPr>
            <w:tcW w:w="12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топлива, тыс. л</w:t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85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8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2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нормативный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фактический</w:t>
            </w: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24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cantSplit w:val="true"/>
        </w:trPr>
        <w:tc>
          <w:tcPr>
            <w:tcW w:w="8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СHEVROLET NIVA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11.9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31954.0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1367.0</w:t>
            </w:r>
          </w:p>
        </w:tc>
      </w:tr>
      <w:tr>
        <w:trPr>
          <w:cantSplit w:val="true"/>
        </w:trPr>
        <w:tc>
          <w:tcPr>
            <w:tcW w:w="8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CHEVROLET NIVA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Прочее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11.9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31954.0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2375.0</w:t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06"/>
        <w:gridCol w:w="1105"/>
        <w:gridCol w:w="2674"/>
        <w:gridCol w:w="2127"/>
        <w:gridCol w:w="2449"/>
        <w:gridCol w:w="1377"/>
        <w:gridCol w:w="2047"/>
        <w:gridCol w:w="2295"/>
      </w:tblGrid>
      <w:tr>
        <w:trPr>
          <w:tblHeader w:val="true"/>
          <w:trHeight w:val="454" w:hRule="atLeast"/>
          <w:cantSplit w:val="true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>
        <w:trPr>
          <w:trHeight w:val="454" w:hRule="atLeast"/>
          <w:cantSplit w:val="true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Прилепенского сельского поселения муниципального района "Чернянский район" Белгородской области Местонахождение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счетчик ватт-часов активной энергии переменного тока электронный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02211828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1.4.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03"/>
        <w:gridCol w:w="1108"/>
        <w:gridCol w:w="2668"/>
        <w:gridCol w:w="2123"/>
        <w:gridCol w:w="2459"/>
        <w:gridCol w:w="1377"/>
        <w:gridCol w:w="2047"/>
        <w:gridCol w:w="2295"/>
      </w:tblGrid>
      <w:tr>
        <w:trPr>
          <w:tblHeader w:val="true"/>
          <w:trHeight w:val="454" w:hRule="atLeast"/>
          <w:cantSplit w:val="true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rPr>
          <w:trHeight w:val="454" w:hRule="atLeast"/>
          <w:cantSplit w:val="true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>
        <w:trPr>
          <w:trHeight w:val="454" w:hRule="atLeast"/>
          <w:cantSplit w:val="true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>
        <w:trPr>
          <w:trHeight w:val="454" w:hRule="atLeast"/>
          <w:cantSplit w:val="true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134" w:right="567" w:gutter="0" w:header="0" w:top="1134" w:footer="567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08"/>
        <w:gridCol w:w="3195"/>
        <w:gridCol w:w="1151"/>
        <w:gridCol w:w="1257"/>
        <w:gridCol w:w="1230"/>
        <w:gridCol w:w="1196"/>
      </w:tblGrid>
      <w:tr>
        <w:trPr>
          <w:tblHeader w:val="true"/>
          <w:trHeight w:val="910" w:hRule="atLeast"/>
          <w:cantSplit w:val="true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>
        <w:trPr>
          <w:trHeight w:val="405" w:hRule="atLeast"/>
          <w:cantSplit w:val="true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>
        <w:trPr>
          <w:trHeight w:val="405" w:hRule="atLeast"/>
          <w:cantSplit w:val="true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3"/>
        <w:gridCol w:w="1335"/>
        <w:gridCol w:w="689"/>
        <w:gridCol w:w="30"/>
        <w:gridCol w:w="1140"/>
        <w:gridCol w:w="32"/>
        <w:gridCol w:w="1246"/>
        <w:gridCol w:w="1168"/>
        <w:gridCol w:w="1154"/>
        <w:gridCol w:w="1175"/>
      </w:tblGrid>
      <w:tr>
        <w:trPr>
          <w:tblHeader w:val="true"/>
          <w:trHeight w:val="454" w:hRule="atLeast"/>
          <w:cantSplit w:val="true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>
        <w:trPr>
          <w:trHeight w:val="298" w:hRule="atLeast"/>
          <w:cantSplit w:val="true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7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11070.000</w:t>
            </w:r>
          </w:p>
        </w:tc>
      </w:tr>
      <w:tr>
        <w:trPr>
          <w:trHeight w:val="188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298" w:hRule="atLeast"/>
          <w:cantSplit w:val="true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7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</w:tr>
      <w:tr>
        <w:trPr>
          <w:trHeight w:val="497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80.000</w:t>
            </w:r>
          </w:p>
        </w:tc>
      </w:tr>
      <w:tr>
        <w:trPr>
          <w:trHeight w:val="188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7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7"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Система электроснабжения.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Электроснабжение осуществляется по государственным контрактам: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2050166 с АО " Белгородэнергосбыт";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Водоснабжение холодной водой осуществляется по государственным контрактам: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15-0008/1-2022 с ГУП Белгородской области " Белгородский областной водоканал";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>
      <w:pPr>
        <w:pStyle w:val="ListParagraph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>
      <w:pPr>
        <w:pStyle w:val="ListParagraph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>
      <w:pPr>
        <w:pStyle w:val="NoSpacing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11"/>
      <w:footerReference w:type="default" r:id="rId12"/>
      <w:type w:val="nextPage"/>
      <w:pgSz w:w="11906" w:h="16838"/>
      <w:pgMar w:left="1701" w:right="567" w:gutter="0" w:header="0" w:top="567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sz w:val="28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qFormat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i/>
      <w:sz w:val="28"/>
      <w:szCs w:val="20"/>
      <w:lang w:eastAsia="ru-RU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>
      <w:rFonts w:ascii="Calibri" w:hAnsi="Calibri" w:eastAsia="Calibri" w:cs="Times New Roman"/>
    </w:rPr>
  </w:style>
  <w:style w:type="character" w:styleId="Style8" w:customStyle="1">
    <w:name w:val="Нижний колонтитул Знак"/>
    <w:basedOn w:val="DefaultParagraphFont"/>
    <w:uiPriority w:val="99"/>
    <w:qFormat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Style11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character" w:styleId="Style12">
    <w:name w:val="Интернет-ссылка"/>
    <w:rPr>
      <w:color w:val="0066CC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3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data" w:customStyle="1">
    <w:name w:val="docdat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LibreOffice/7.3.6.2$Linux_X86_64 LibreOffice_project/30$Build-2</Application>
  <AppVersion>15.0000</AppVersion>
  <Pages>16</Pages>
  <Words>2065</Words>
  <Characters>15042</Characters>
  <CharactersWithSpaces>16968</CharactersWithSpaces>
  <Paragraphs>549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2022-11-10T13:08:00Z</dcterms:created>
  <dc:creator>Oleg</dc:creator>
  <dc:description/>
  <dc:language>ru-RU</dc:language>
  <cp:lastModifiedBy/>
  <dcterms:modified xsi:type="dcterms:W3CDTF">2022-12-20T11:07:43Z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