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 о проведении общего собрания  участников долевой собственности  на земельный участок из земель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сельскохозяйственного назначения</w:t>
      </w:r>
      <w:r>
        <w:rPr>
          <w:b/>
          <w:bCs/>
          <w:sz w:val="28"/>
          <w:szCs w:val="28"/>
        </w:rPr>
      </w:r>
      <w:r/>
    </w:p>
    <w:p>
      <w:pPr>
        <w:pStyle w:val="848"/>
        <w:jc w:val="center"/>
      </w:pPr>
      <w:r/>
      <w:r/>
    </w:p>
    <w:p>
      <w:pPr>
        <w:pStyle w:val="848"/>
        <w:jc w:val="both"/>
      </w:pPr>
      <w:r>
        <w:t xml:space="preserve">В соответствии  со статьей 14.1 ФЗ «Об обороте  земель сельскохозяйственного назн</w:t>
      </w:r>
      <w:r>
        <w:t xml:space="preserve">ачения» администрация Прилепенского</w:t>
      </w:r>
      <w:r>
        <w:t xml:space="preserve">  сельского поселения муниципального района  «Чернянский район» Белгородской области, извещает участников общей долевой собственности  на земельный участок из земель сельскохозяйственного назначения   с к</w:t>
      </w:r>
      <w:r>
        <w:t xml:space="preserve">адастровым номером 31:08:1403001:128   общей площадью 816200</w:t>
      </w:r>
      <w:r>
        <w:t xml:space="preserve"> кв.м, расположенный по адресу: Белгородская область, Чернянский </w:t>
      </w:r>
      <w:r>
        <w:t xml:space="preserve">район, в границах ЗАО «Дружба</w:t>
      </w:r>
      <w:r>
        <w:t xml:space="preserve">», о проведении общего собрания</w:t>
      </w:r>
      <w:r>
        <w:t xml:space="preserve">  участников долевой собственности со следующей повесткой дня:</w:t>
      </w:r>
      <w:r/>
    </w:p>
    <w:p>
      <w:pPr>
        <w:pStyle w:val="848"/>
        <w:jc w:val="both"/>
      </w:pPr>
      <w:r>
        <w:t xml:space="preserve">    </w:t>
      </w:r>
      <w:r>
        <w:t xml:space="preserve">        1. </w:t>
      </w:r>
      <w:r>
        <w:t xml:space="preserve">Избрание председателя и секретаря общего собрания.</w:t>
      </w:r>
      <w:r/>
    </w:p>
    <w:p>
      <w:pPr>
        <w:pStyle w:val="8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2.Об условиях договора аренды</w:t>
      </w:r>
      <w:r>
        <w:rPr>
          <w:rFonts w:ascii="Times New Roman" w:hAnsi="Times New Roman"/>
        </w:rPr>
        <w:t xml:space="preserve"> земельного участка, находящегося в общей долевой собственности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</w:t>
      </w:r>
      <w:r>
        <w:rPr>
          <w:rFonts w:ascii="Times New Roman" w:hAnsi="Times New Roman"/>
        </w:rPr>
        <w:t xml:space="preserve">Определение лиц, уполномоченных от имени участников долевой собственности без доверенности</w:t>
      </w:r>
      <w:r>
        <w:rPr>
          <w:rFonts w:ascii="Times New Roman" w:hAnsi="Times New Roman"/>
        </w:rPr>
        <w:t xml:space="preserve"> действовать </w:t>
      </w:r>
      <w:r>
        <w:rPr>
          <w:rFonts w:ascii="Times New Roman" w:hAnsi="Times New Roman"/>
          <w:color w:val="000000"/>
          <w:shd w:val="clear" w:color="auto" w:fill="ffffff"/>
        </w:rPr>
        <w:t xml:space="preserve">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</w:t>
      </w:r>
      <w:r>
        <w:rPr>
          <w:rFonts w:ascii="Times New Roman" w:hAnsi="Times New Roman"/>
          <w:color w:val="000000"/>
          <w:shd w:val="clear" w:color="auto" w:fill="ffffff"/>
        </w:rPr>
        <w:t xml:space="preserve">,</w:t>
      </w:r>
      <w:r>
        <w:rPr>
          <w:rFonts w:ascii="Times New Roman" w:hAnsi="Times New Roman"/>
        </w:rPr>
        <w:t xml:space="preserve"> заключать</w:t>
      </w:r>
      <w:r>
        <w:rPr>
          <w:rFonts w:ascii="Times New Roman" w:hAnsi="Times New Roman"/>
        </w:rPr>
        <w:t xml:space="preserve"> соглашение о расторжении, прекращении договора аренды,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земельного участка, находящ</w:t>
      </w:r>
      <w:r>
        <w:rPr>
          <w:rFonts w:ascii="Times New Roman" w:hAnsi="Times New Roman"/>
        </w:rPr>
        <w:t xml:space="preserve">егося в общей долевой собственности</w:t>
      </w:r>
      <w:r>
        <w:rPr>
          <w:rFonts w:ascii="Times New Roman" w:hAnsi="Times New Roman"/>
        </w:rPr>
        <w:t xml:space="preserve">, заключать </w:t>
      </w:r>
      <w:r>
        <w:rPr>
          <w:rFonts w:ascii="Times New Roman" w:hAnsi="Times New Roman"/>
        </w:rPr>
        <w:t xml:space="preserve"> договор аренды земельного участка, находящегося в общей долевой собственности, в том числе об объеме и о сроках таких полномочий.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8"/>
        <w:ind w:firstLine="540"/>
        <w:jc w:val="both"/>
      </w:pPr>
      <w:r>
        <w:t xml:space="preserve">С документами по вопросам, вынесенным на обсуждение общего собрания можно ознакомиться  со дня опублико</w:t>
      </w:r>
      <w:r>
        <w:t xml:space="preserve">вания настоящего извещения до 07.04.2025</w:t>
      </w:r>
      <w:r>
        <w:t xml:space="preserve">  по адресу: Белгородская область, Чер</w:t>
      </w:r>
      <w:r>
        <w:t xml:space="preserve">нянский район, с. Верхнее Кузькино, ул. Центральная, дом 3</w:t>
      </w:r>
      <w:r>
        <w:t xml:space="preserve">.                                                                                        </w:t>
      </w:r>
      <w:r/>
    </w:p>
    <w:p>
      <w:pPr>
        <w:pStyle w:val="848"/>
        <w:jc w:val="both"/>
      </w:pPr>
      <w:r>
        <w:t xml:space="preserve">         Собрание состоится</w:t>
      </w:r>
      <w:r>
        <w:rPr>
          <w:b/>
          <w:bCs/>
        </w:rPr>
        <w:t xml:space="preserve"> 17.04.2025</w:t>
      </w:r>
      <w:r>
        <w:rPr>
          <w:b/>
          <w:bCs/>
        </w:rPr>
        <w:t xml:space="preserve"> года в 11 часов 00 мин.</w:t>
      </w:r>
      <w:r>
        <w:t xml:space="preserve"> по адресу: Белгородская область, Чернянский район, </w:t>
      </w:r>
      <w:r>
        <w:t xml:space="preserve">с. Верхнее Кузькино, ул. Центральная, дом 3</w:t>
      </w:r>
      <w:r>
        <w:t xml:space="preserve">.</w:t>
      </w:r>
      <w:r/>
    </w:p>
    <w:p>
      <w:pPr>
        <w:pStyle w:val="848"/>
        <w:ind w:left="0" w:right="0" w:firstLine="0"/>
        <w:jc w:val="both"/>
      </w:pPr>
      <w:r>
        <w:t xml:space="preserve">         Регистрация участников долевой собственности  будет производиться с 9 ч. 30 мин. по документам, удостоверяющим личность  и по правоустанавливающим  документам, подтверждающим право собственности на земельную долю.  </w:t>
      </w:r>
      <w:r/>
    </w:p>
    <w:p>
      <w:pPr>
        <w:pStyle w:val="848"/>
        <w:ind w:left="0" w:right="0" w:firstLine="360"/>
        <w:jc w:val="both"/>
        <w:rPr>
          <w:highlight w:val="none"/>
        </w:rPr>
      </w:pPr>
      <w:r>
        <w:t xml:space="preserve">   Доверенные лица  будут регистрироваться  </w:t>
      </w:r>
      <w:r>
        <w:t xml:space="preserve">п</w:t>
      </w:r>
      <w:r>
        <w:t xml:space="preserve">о документам, удостоверяющим личность; по правоустанавливающим документам, подтверждающим право собственности на земельную долю  доверителя, по предъявлению подлинника доверенности, оформленной в соответствии с требованиями  действующего законодательства.»</w:t>
      </w:r>
      <w:r>
        <w:rPr>
          <w:highlight w:val="none"/>
        </w:rPr>
      </w:r>
    </w:p>
    <w:p>
      <w:pPr>
        <w:ind w:left="0" w:right="0" w:firstLine="36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36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36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60"/>
        <w:jc w:val="both"/>
      </w:pPr>
      <w:r/>
      <w:r/>
    </w:p>
    <w:p>
      <w:pPr>
        <w:ind w:left="360"/>
        <w:jc w:val="both"/>
      </w:pPr>
      <w:r/>
      <w:r/>
    </w:p>
    <w:p>
      <w:pPr>
        <w:ind w:left="360"/>
        <w:jc w:val="both"/>
      </w:pPr>
      <w:r/>
      <w:r/>
    </w:p>
    <w:p>
      <w:pPr>
        <w:ind w:left="360"/>
        <w:jc w:val="both"/>
      </w:pPr>
      <w:r/>
      <w:r/>
    </w:p>
    <w:p>
      <w:pPr>
        <w:ind w:left="360"/>
        <w:jc w:val="both"/>
      </w:pPr>
      <w:r/>
      <w:r/>
    </w:p>
    <w:p>
      <w:pPr>
        <w:ind w:left="36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p>
      <w:pPr>
        <w:pStyle w:val="848"/>
        <w:ind w:left="360"/>
        <w:jc w:val="both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character" w:styleId="849">
    <w:name w:val="Основной шрифт абзаца"/>
    <w:next w:val="849"/>
    <w:link w:val="848"/>
    <w:semiHidden/>
  </w:style>
  <w:style w:type="table" w:styleId="850">
    <w:name w:val="Обычная таблица"/>
    <w:next w:val="850"/>
    <w:link w:val="848"/>
    <w:semiHidden/>
    <w:tblPr/>
  </w:style>
  <w:style w:type="numbering" w:styleId="851">
    <w:name w:val="Нет списка"/>
    <w:next w:val="851"/>
    <w:link w:val="848"/>
    <w:uiPriority w:val="99"/>
    <w:semiHidden/>
    <w:unhideWhenUsed/>
  </w:style>
  <w:style w:type="table" w:styleId="852">
    <w:name w:val="Сетка таблицы"/>
    <w:basedOn w:val="850"/>
    <w:next w:val="852"/>
    <w:link w:val="848"/>
    <w:tblPr/>
  </w:style>
  <w:style w:type="paragraph" w:styleId="853">
    <w:name w:val="Основной текст"/>
    <w:basedOn w:val="848"/>
    <w:next w:val="853"/>
    <w:link w:val="854"/>
    <w:pPr>
      <w:jc w:val="both"/>
    </w:pPr>
    <w:rPr>
      <w:rFonts w:ascii="Calibri" w:hAnsi="Calibri"/>
      <w:szCs w:val="20"/>
    </w:rPr>
  </w:style>
  <w:style w:type="character" w:styleId="854">
    <w:name w:val="Основной текст Знак"/>
    <w:next w:val="854"/>
    <w:link w:val="853"/>
    <w:rPr>
      <w:rFonts w:ascii="Calibri" w:hAnsi="Calibri"/>
      <w:sz w:val="24"/>
    </w:rPr>
  </w:style>
  <w:style w:type="paragraph" w:styleId="855">
    <w:name w:val="Абзац списка"/>
    <w:basedOn w:val="848"/>
    <w:next w:val="855"/>
    <w:link w:val="848"/>
    <w:uiPriority w:val="34"/>
    <w:qFormat/>
    <w:pPr>
      <w:contextualSpacing/>
      <w:ind w:left="720"/>
    </w:pPr>
    <w:rPr>
      <w:rFonts w:ascii="Calibri" w:hAnsi="Calibri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Дом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 проведении общего собрания  участников долевой собственности  на земельный участок из земель сельскохозяйственного назначения</dc:title>
  <dc:creator>Трубчантнов</dc:creator>
  <cp:revision>17</cp:revision>
  <dcterms:created xsi:type="dcterms:W3CDTF">2011-02-24T14:22:00Z</dcterms:created>
  <dcterms:modified xsi:type="dcterms:W3CDTF">2025-04-25T11:38:18Z</dcterms:modified>
  <cp:version>1048576</cp:version>
</cp:coreProperties>
</file>